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120B" w14:textId="2D7DC527" w:rsidR="00D7044F" w:rsidRPr="00AD1CF0" w:rsidRDefault="00BE5F54" w:rsidP="00D7044F">
      <w:pPr>
        <w:pStyle w:val="Ttulo3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>Acta de constitución de la Comisión Negociadora del Plan de Igualdad</w:t>
      </w:r>
    </w:p>
    <w:p w14:paraId="4D90EC40" w14:textId="085EF702" w:rsidR="00BE5F54" w:rsidRPr="00AD1CF0" w:rsidRDefault="00BE5F54" w:rsidP="00BE5F54">
      <w:pPr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 xml:space="preserve">En </w:t>
      </w:r>
      <w:r w:rsidR="00335726">
        <w:rPr>
          <w:rFonts w:ascii="Open Sans" w:hAnsi="Open Sans" w:cs="Open Sans"/>
          <w:color w:val="555555"/>
          <w:shd w:val="clear" w:color="auto" w:fill="FFF2CC" w:themeFill="accent4" w:themeFillTint="33"/>
        </w:rPr>
        <w:t>LUGAR, a FECHA</w:t>
      </w:r>
      <w:r w:rsidR="00ED7DF2">
        <w:rPr>
          <w:rFonts w:ascii="Open Sans" w:hAnsi="Open Sans" w:cs="Open Sans"/>
          <w:color w:val="555555"/>
          <w:shd w:val="clear" w:color="auto" w:fill="FFF2CC" w:themeFill="accent4" w:themeFillTint="33"/>
        </w:rPr>
        <w:t xml:space="preserve"> </w:t>
      </w:r>
      <w:r w:rsidRPr="00AD1CF0">
        <w:rPr>
          <w:rFonts w:ascii="Open Sans" w:hAnsi="Open Sans" w:cs="Open Sans"/>
        </w:rPr>
        <w:t xml:space="preserve">reunidas, </w:t>
      </w:r>
    </w:p>
    <w:p w14:paraId="4BC43388" w14:textId="77777777" w:rsidR="00BE5F54" w:rsidRPr="00AD1CF0" w:rsidRDefault="00BE5F54" w:rsidP="00BE5F54">
      <w:pPr>
        <w:rPr>
          <w:rFonts w:ascii="Open Sans" w:hAnsi="Open Sans" w:cs="Open Sans"/>
        </w:rPr>
      </w:pPr>
    </w:p>
    <w:p w14:paraId="40F9D1E8" w14:textId="77777777" w:rsidR="00BE5F54" w:rsidRPr="00AD1CF0" w:rsidRDefault="00BE5F54" w:rsidP="00BE5F54">
      <w:pPr>
        <w:rPr>
          <w:rFonts w:ascii="Open Sans" w:hAnsi="Open Sans" w:cs="Open Sans"/>
        </w:rPr>
      </w:pPr>
      <w:commentRangeStart w:id="0"/>
      <w:r w:rsidRPr="00AD1CF0">
        <w:rPr>
          <w:rFonts w:ascii="Open Sans" w:hAnsi="Open Sans" w:cs="Open Sans"/>
        </w:rPr>
        <w:t xml:space="preserve">por una parte, la representación de la empresa </w:t>
      </w:r>
    </w:p>
    <w:p w14:paraId="2DD54F2E" w14:textId="3AF71B46" w:rsidR="00ED7DF2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191ED3C8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4EAF4F3C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108C8CB9" w14:textId="77777777" w:rsidR="00BE5F54" w:rsidRPr="00AD1CF0" w:rsidRDefault="00BE5F54" w:rsidP="00BE5F54">
      <w:pPr>
        <w:rPr>
          <w:rFonts w:ascii="Open Sans" w:hAnsi="Open Sans" w:cs="Open Sans"/>
        </w:rPr>
      </w:pPr>
    </w:p>
    <w:p w14:paraId="7AFF5A70" w14:textId="77777777" w:rsidR="00BE5F54" w:rsidRPr="00AD1CF0" w:rsidRDefault="00BE5F54" w:rsidP="00BE5F54">
      <w:pPr>
        <w:rPr>
          <w:rFonts w:ascii="Open Sans" w:hAnsi="Open Sans" w:cs="Open Sans"/>
          <w:color w:val="555555"/>
          <w:sz w:val="21"/>
          <w:szCs w:val="21"/>
          <w:vertAlign w:val="subscript"/>
        </w:rPr>
      </w:pPr>
      <w:r w:rsidRPr="00AD1CF0">
        <w:rPr>
          <w:rFonts w:ascii="Open Sans" w:hAnsi="Open Sans" w:cs="Open Sans"/>
        </w:rPr>
        <w:t xml:space="preserve">y por otra, la representación de </w:t>
      </w:r>
      <w:proofErr w:type="gramStart"/>
      <w:r w:rsidRPr="00AD1CF0">
        <w:rPr>
          <w:rFonts w:ascii="Open Sans" w:hAnsi="Open Sans" w:cs="Open Sans"/>
        </w:rPr>
        <w:t>las trabajadoras y los trabajadores</w:t>
      </w:r>
      <w:proofErr w:type="gramEnd"/>
    </w:p>
    <w:p w14:paraId="347E1C45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650F4C58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16F0BE89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13FA8EE3" w14:textId="77777777" w:rsidR="00F22A19" w:rsidRDefault="00F22A19" w:rsidP="00F22A19">
      <w:pPr>
        <w:rPr>
          <w:rFonts w:ascii="Open Sans" w:hAnsi="Open Sans" w:cs="Open Sans"/>
        </w:rPr>
      </w:pPr>
    </w:p>
    <w:p w14:paraId="7461C03B" w14:textId="356C3A05" w:rsidR="00F22A19" w:rsidRPr="00B4327F" w:rsidRDefault="00F22A19" w:rsidP="00F22A19">
      <w:pPr>
        <w:rPr>
          <w:rFonts w:ascii="Open Sans" w:hAnsi="Open Sans" w:cs="Open Sans"/>
          <w:color w:val="555555"/>
          <w:sz w:val="21"/>
          <w:szCs w:val="21"/>
          <w:vertAlign w:val="subscript"/>
        </w:rPr>
      </w:pPr>
      <w:r w:rsidRPr="00B4327F">
        <w:rPr>
          <w:rFonts w:ascii="Open Sans" w:hAnsi="Open Sans" w:cs="Open Sans"/>
        </w:rPr>
        <w:t xml:space="preserve">y </w:t>
      </w:r>
      <w:r>
        <w:rPr>
          <w:rFonts w:ascii="Open Sans" w:hAnsi="Open Sans" w:cs="Open Sans"/>
        </w:rPr>
        <w:t>como personas asesoras:</w:t>
      </w:r>
    </w:p>
    <w:p w14:paraId="65189490" w14:textId="77777777" w:rsidR="00F22A19" w:rsidRDefault="00F22A19" w:rsidP="00F22A19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7B083F56" w14:textId="77777777" w:rsidR="00F22A19" w:rsidRDefault="00F22A19" w:rsidP="00F22A19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5E0EAF23" w14:textId="3FAEF14F" w:rsidR="00F22A19" w:rsidRPr="00F22A19" w:rsidRDefault="00F22A19" w:rsidP="00F22A19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  <w:commentRangeEnd w:id="0"/>
      <w:r w:rsidR="00AE0455">
        <w:rPr>
          <w:rStyle w:val="Refdecomentario"/>
        </w:rPr>
        <w:commentReference w:id="0"/>
      </w:r>
    </w:p>
    <w:p w14:paraId="49910D4F" w14:textId="6D6F3344" w:rsidR="00BE5F54" w:rsidRPr="00AD1CF0" w:rsidRDefault="00BE5F54" w:rsidP="00BE5F54">
      <w:pPr>
        <w:spacing w:before="240" w:after="240" w:line="312" w:lineRule="auto"/>
        <w:ind w:right="227"/>
        <w:rPr>
          <w:rFonts w:ascii="Open Sans" w:hAnsi="Open Sans" w:cs="Open Sans"/>
          <w:color w:val="000000" w:themeColor="text1"/>
          <w:lang w:val="es-ES_tradnl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 xml:space="preserve">con motivo de la constitución de la Comisión Negociadora del Plan de Igualdad </w:t>
      </w:r>
      <w:r w:rsidR="00592E51" w:rsidRPr="00AD1CF0">
        <w:rPr>
          <w:rFonts w:ascii="Open Sans" w:hAnsi="Open Sans" w:cs="Open Sans"/>
          <w:color w:val="000000" w:themeColor="text1"/>
          <w:lang w:val="es-ES_tradnl"/>
        </w:rPr>
        <w:t xml:space="preserve">de </w:t>
      </w:r>
      <w:r w:rsidR="00335726" w:rsidRPr="00C57E46">
        <w:rPr>
          <w:rFonts w:ascii="Open Sans" w:hAnsi="Open Sans" w:cs="Open Sans"/>
          <w:b/>
          <w:bCs/>
          <w:color w:val="FF0000"/>
          <w:lang w:val="es-ES_tradnl"/>
        </w:rPr>
        <w:t>NOMBRE ORGANIZACIÓN</w:t>
      </w:r>
      <w:r w:rsidRPr="00C57E46">
        <w:rPr>
          <w:rFonts w:ascii="Open Sans" w:hAnsi="Open Sans" w:cs="Open Sans"/>
          <w:color w:val="FF0000"/>
          <w:lang w:val="es-ES_tradnl"/>
        </w:rPr>
        <w:t xml:space="preserve"> </w:t>
      </w:r>
      <w:r w:rsidRPr="00AD1CF0">
        <w:rPr>
          <w:rFonts w:ascii="Open Sans" w:hAnsi="Open Sans" w:cs="Open Sans"/>
          <w:color w:val="000000" w:themeColor="text1"/>
          <w:lang w:val="es-ES_tradnl"/>
        </w:rPr>
        <w:t>en cumplimiento de los artículos 45 y 46 de la Ley Orgánica 3/2007, de 22 de marzo, para la igualdad efectiva entre mujeres y hombres y su normativa de desarrollo.</w:t>
      </w:r>
    </w:p>
    <w:p w14:paraId="4616FA56" w14:textId="7FF36DD1" w:rsidR="00977A96" w:rsidRPr="00AE0455" w:rsidRDefault="00BE5F54" w:rsidP="00AE0455">
      <w:pPr>
        <w:spacing w:before="240" w:after="240" w:line="312" w:lineRule="auto"/>
        <w:ind w:right="227"/>
        <w:rPr>
          <w:rFonts w:ascii="Open Sans" w:hAnsi="Open Sans" w:cs="Open Sans"/>
          <w:color w:val="000000" w:themeColor="text1"/>
          <w:lang w:val="es-ES_tradnl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 xml:space="preserve">Ambas partes se reconocen mutua capacidad y legitimación suficiente, como interlocutores válidos, para negociar el diagnóstico y Plan de Igualdad y ACUERDAN constituir la Comisión de Negociadora del Plan de Igualdad y establecer sus competencias y normas de funcionamiento.  </w:t>
      </w:r>
    </w:p>
    <w:p w14:paraId="48565E59" w14:textId="7F7DEA27" w:rsidR="00977A96" w:rsidRPr="00AD1CF0" w:rsidRDefault="00977A96" w:rsidP="00977A96">
      <w:pPr>
        <w:pStyle w:val="Prrafodelista"/>
        <w:numPr>
          <w:ilvl w:val="0"/>
          <w:numId w:val="9"/>
        </w:numPr>
        <w:rPr>
          <w:rFonts w:ascii="Open Sans" w:hAnsi="Open Sans" w:cs="Open Sans"/>
          <w:b/>
          <w:i/>
          <w:color w:val="2E74B5" w:themeColor="accent1" w:themeShade="BF"/>
          <w:sz w:val="24"/>
        </w:rPr>
      </w:pPr>
      <w:r w:rsidRPr="00AD1CF0">
        <w:rPr>
          <w:rFonts w:ascii="Open Sans" w:hAnsi="Open Sans" w:cs="Open Sans"/>
          <w:b/>
          <w:i/>
          <w:color w:val="2E74B5" w:themeColor="accent1" w:themeShade="BF"/>
          <w:sz w:val="24"/>
        </w:rPr>
        <w:lastRenderedPageBreak/>
        <w:t>Constitución y composición de la Comisión Negociadora.</w:t>
      </w:r>
    </w:p>
    <w:p w14:paraId="452483DE" w14:textId="77777777" w:rsidR="00BE5F54" w:rsidRPr="00AD1CF0" w:rsidRDefault="00BE5F54" w:rsidP="00BE5F54">
      <w:pPr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>La Comisión Negociadora</w:t>
      </w:r>
      <w:r w:rsidRPr="00AD1CF0">
        <w:rPr>
          <w:rStyle w:val="Refdenotaalpie"/>
          <w:rFonts w:ascii="Open Sans" w:hAnsi="Open Sans" w:cs="Open Sans"/>
        </w:rPr>
        <w:footnoteReference w:id="1"/>
      </w:r>
      <w:r w:rsidRPr="00AD1CF0">
        <w:rPr>
          <w:rFonts w:ascii="Open Sans" w:hAnsi="Open Sans" w:cs="Open Sans"/>
        </w:rPr>
        <w:t xml:space="preserve"> del diagnóstico y el Plan de Igualdad estará constituida: </w:t>
      </w:r>
    </w:p>
    <w:p w14:paraId="24E3B650" w14:textId="77777777" w:rsidR="00BE5F54" w:rsidRPr="00AD1CF0" w:rsidRDefault="00BE5F54" w:rsidP="00BE5F54">
      <w:pPr>
        <w:rPr>
          <w:rFonts w:ascii="Open Sans" w:hAnsi="Open Sans" w:cs="Open Sans"/>
          <w:i/>
          <w:iCs/>
        </w:rPr>
      </w:pPr>
      <w:commentRangeStart w:id="1"/>
      <w:r w:rsidRPr="00AD1CF0">
        <w:rPr>
          <w:rFonts w:ascii="Open Sans" w:hAnsi="Open Sans" w:cs="Open Sans"/>
          <w:i/>
          <w:iCs/>
        </w:rPr>
        <w:t>En representación de la empresa por:</w:t>
      </w:r>
    </w:p>
    <w:p w14:paraId="1306064E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692C93FB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6E36067B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71D08591" w14:textId="77777777" w:rsidR="00BE5F54" w:rsidRPr="00AD1CF0" w:rsidRDefault="00BE5F54" w:rsidP="00BE5F54">
      <w:pPr>
        <w:rPr>
          <w:rFonts w:ascii="Open Sans" w:hAnsi="Open Sans" w:cs="Open Sans"/>
          <w:i/>
          <w:iCs/>
        </w:rPr>
      </w:pPr>
      <w:r w:rsidRPr="00AD1CF0">
        <w:rPr>
          <w:rFonts w:ascii="Open Sans" w:hAnsi="Open Sans" w:cs="Open Sans"/>
          <w:i/>
          <w:iCs/>
        </w:rPr>
        <w:t>En representación de la plantilla por</w:t>
      </w:r>
      <w:r w:rsidRPr="00AD1CF0">
        <w:rPr>
          <w:rStyle w:val="Refdenotaalpie"/>
          <w:rFonts w:ascii="Open Sans" w:hAnsi="Open Sans" w:cs="Open Sans"/>
          <w:i/>
          <w:iCs/>
        </w:rPr>
        <w:footnoteReference w:id="2"/>
      </w:r>
      <w:r w:rsidRPr="00AD1CF0">
        <w:rPr>
          <w:rFonts w:ascii="Open Sans" w:hAnsi="Open Sans" w:cs="Open Sans"/>
          <w:i/>
          <w:iCs/>
        </w:rPr>
        <w:t>:</w:t>
      </w:r>
    </w:p>
    <w:p w14:paraId="29A39804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040BAAB2" w14:textId="77777777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4EA02EF4" w14:textId="553895BF" w:rsidR="00335726" w:rsidRDefault="00335726" w:rsidP="00335726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  <w:commentRangeEnd w:id="1"/>
      <w:r w:rsidR="00AE0455">
        <w:rPr>
          <w:rStyle w:val="Refdecomentario"/>
        </w:rPr>
        <w:commentReference w:id="1"/>
      </w:r>
    </w:p>
    <w:p w14:paraId="262D7FE8" w14:textId="2C29D69F" w:rsidR="00760179" w:rsidRPr="00AD1CF0" w:rsidRDefault="00760179" w:rsidP="00760179">
      <w:pPr>
        <w:rPr>
          <w:rFonts w:ascii="Open Sans" w:hAnsi="Open Sans" w:cs="Open Sans"/>
          <w:i/>
          <w:iCs/>
        </w:rPr>
      </w:pPr>
      <w:r w:rsidRPr="00AD1CF0">
        <w:rPr>
          <w:rFonts w:ascii="Open Sans" w:hAnsi="Open Sans" w:cs="Open Sans"/>
          <w:i/>
          <w:iCs/>
        </w:rPr>
        <w:t xml:space="preserve">En </w:t>
      </w:r>
      <w:r>
        <w:rPr>
          <w:rFonts w:ascii="Open Sans" w:hAnsi="Open Sans" w:cs="Open Sans"/>
          <w:i/>
          <w:iCs/>
        </w:rPr>
        <w:t>régimen de suplencias, formarán parte</w:t>
      </w:r>
      <w:r w:rsidRPr="00AD1CF0">
        <w:rPr>
          <w:rFonts w:ascii="Open Sans" w:hAnsi="Open Sans" w:cs="Open Sans"/>
          <w:i/>
          <w:iCs/>
        </w:rPr>
        <w:t>:</w:t>
      </w:r>
    </w:p>
    <w:p w14:paraId="3A90A16D" w14:textId="77777777" w:rsidR="00760179" w:rsidRDefault="00760179" w:rsidP="00760179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598DAAA3" w14:textId="77777777" w:rsidR="00760179" w:rsidRDefault="00760179" w:rsidP="00760179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</w:p>
    <w:p w14:paraId="2AD81977" w14:textId="77777777" w:rsidR="00760179" w:rsidRDefault="00760179" w:rsidP="00760179">
      <w:pPr>
        <w:pStyle w:val="Prrafodelista"/>
        <w:numPr>
          <w:ilvl w:val="0"/>
          <w:numId w:val="12"/>
        </w:numPr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NOMBRE, APELLIDOS, CARGO</w:t>
      </w:r>
      <w:commentRangeStart w:id="2"/>
      <w:commentRangeEnd w:id="2"/>
      <w:r>
        <w:rPr>
          <w:rStyle w:val="Refdecomentario"/>
        </w:rPr>
        <w:commentReference w:id="2"/>
      </w:r>
    </w:p>
    <w:p w14:paraId="7DE91EFC" w14:textId="77777777" w:rsidR="00977A96" w:rsidRPr="00AD1CF0" w:rsidRDefault="00977A96" w:rsidP="00977A96">
      <w:pPr>
        <w:pStyle w:val="Prrafodelista"/>
        <w:ind w:left="714"/>
        <w:rPr>
          <w:rFonts w:ascii="Open Sans" w:hAnsi="Open Sans" w:cs="Open Sans"/>
          <w:color w:val="555555"/>
          <w:shd w:val="clear" w:color="auto" w:fill="FFF2CC" w:themeFill="accent4" w:themeFillTint="33"/>
        </w:rPr>
      </w:pPr>
    </w:p>
    <w:p w14:paraId="6E1C4587" w14:textId="0C2854DC" w:rsidR="00BE5F54" w:rsidRPr="00AD1CF0" w:rsidRDefault="00977A96" w:rsidP="00977A96">
      <w:pPr>
        <w:pStyle w:val="Prrafodelista"/>
        <w:numPr>
          <w:ilvl w:val="0"/>
          <w:numId w:val="9"/>
        </w:numPr>
        <w:spacing w:before="240" w:after="240" w:line="312" w:lineRule="auto"/>
        <w:ind w:right="227"/>
        <w:rPr>
          <w:rFonts w:ascii="Open Sans" w:hAnsi="Open Sans" w:cs="Open Sans"/>
          <w:b/>
          <w:i/>
          <w:color w:val="2E74B5" w:themeColor="accent1" w:themeShade="BF"/>
          <w:sz w:val="24"/>
          <w:lang w:val="es-ES_tradnl"/>
        </w:rPr>
      </w:pPr>
      <w:r w:rsidRPr="00AD1CF0">
        <w:rPr>
          <w:rFonts w:ascii="Open Sans" w:hAnsi="Open Sans" w:cs="Open Sans"/>
          <w:b/>
          <w:i/>
          <w:color w:val="2E74B5" w:themeColor="accent1" w:themeShade="BF"/>
          <w:sz w:val="24"/>
          <w:lang w:val="es-ES_tradnl"/>
        </w:rPr>
        <w:t>Funciones de la Comisión Negociadora.</w:t>
      </w:r>
    </w:p>
    <w:p w14:paraId="3272A59E" w14:textId="77777777" w:rsidR="00BE5F54" w:rsidRPr="00AD1CF0" w:rsidRDefault="00BE5F54" w:rsidP="00BE5F54">
      <w:pPr>
        <w:spacing w:before="240" w:after="240" w:line="312" w:lineRule="auto"/>
        <w:ind w:right="227"/>
        <w:rPr>
          <w:rFonts w:ascii="Open Sans" w:eastAsiaTheme="minorEastAsia" w:hAnsi="Open Sans" w:cs="Open Sans"/>
          <w:color w:val="000000" w:themeColor="text1"/>
          <w:sz w:val="21"/>
          <w:szCs w:val="21"/>
          <w:lang w:val="es-ES_tradnl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 xml:space="preserve">Las partes negociadoras acuerdan que la Comisión tendrá las siguientes competencias: </w:t>
      </w:r>
    </w:p>
    <w:p w14:paraId="7348771C" w14:textId="77777777" w:rsidR="00BE5F54" w:rsidRPr="00AD1CF0" w:rsidRDefault="00BE5F54" w:rsidP="00BE5F54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 xml:space="preserve">Negociación y elaboración del diagnóstico y de las medidas que integrarán el Plan de Igualdad. </w:t>
      </w:r>
    </w:p>
    <w:p w14:paraId="3E0E6FC6" w14:textId="77777777" w:rsidR="00BE5F54" w:rsidRPr="00AD1CF0" w:rsidRDefault="00BE5F54" w:rsidP="00BE5F54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Elaboración del informe de los resultados del diagnóstico.</w:t>
      </w:r>
    </w:p>
    <w:p w14:paraId="4AE2C97C" w14:textId="77777777" w:rsidR="00BE5F54" w:rsidRPr="00AD1CF0" w:rsidRDefault="00BE5F54" w:rsidP="00BE5F54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Identificación de las medidas prioritarias, a la luz del diagnóstico, su ámbito de aplicación, los medios materiales y humanos necesarios para su implantación, así como las personas u órganos responsables, incluyendo un cronograma de actuaciones.</w:t>
      </w:r>
    </w:p>
    <w:p w14:paraId="7958699E" w14:textId="77777777" w:rsidR="00BE5F54" w:rsidRPr="00AD1CF0" w:rsidRDefault="00BE5F54" w:rsidP="00BE5F54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Impulso de la implantación del Plan de Igualdad en la empresa.</w:t>
      </w:r>
    </w:p>
    <w:p w14:paraId="4FD8CEDB" w14:textId="77777777" w:rsidR="00BE5F54" w:rsidRPr="00AD1CF0" w:rsidRDefault="00BE5F54" w:rsidP="00BE5F54">
      <w:pPr>
        <w:pStyle w:val="Prrafodelista"/>
        <w:numPr>
          <w:ilvl w:val="0"/>
          <w:numId w:val="5"/>
        </w:numPr>
        <w:ind w:right="227"/>
        <w:rPr>
          <w:rFonts w:ascii="Open Sans" w:hAnsi="Open Sans" w:cs="Open Sans"/>
          <w:lang w:val="es-ES_tradnl" w:eastAsia="es-ES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lastRenderedPageBreak/>
        <w:t xml:space="preserve">Definición de los indicadores de medición y los instrumentos de recogida de información necesarios para realizar el seguimiento y evaluación del grado de cumplimiento de las medidas del Plan de Igualdad implantadas. </w:t>
      </w:r>
    </w:p>
    <w:p w14:paraId="4B847628" w14:textId="77777777" w:rsidR="00BE5F54" w:rsidRPr="00AD1CF0" w:rsidRDefault="00BE5F54" w:rsidP="00BE5F54">
      <w:pPr>
        <w:pStyle w:val="Prrafodelista"/>
        <w:numPr>
          <w:ilvl w:val="0"/>
          <w:numId w:val="5"/>
        </w:numPr>
        <w:ind w:right="227"/>
        <w:rPr>
          <w:rFonts w:ascii="Open Sans" w:hAnsi="Open Sans" w:cs="Open Sans"/>
          <w:lang w:val="es-ES_tradnl" w:eastAsia="es-ES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Remisión del Plan de Igualdad que fuere aprobado ante la autoridad laboral competente a efectos de su registro, depósito y publicación.</w:t>
      </w:r>
    </w:p>
    <w:p w14:paraId="5536742D" w14:textId="5B7ADC5B" w:rsidR="00BE5F54" w:rsidRPr="00E44EBD" w:rsidRDefault="00BE5F54" w:rsidP="00E44EBD">
      <w:pPr>
        <w:pStyle w:val="Prrafodelista"/>
        <w:numPr>
          <w:ilvl w:val="0"/>
          <w:numId w:val="5"/>
        </w:numPr>
        <w:ind w:right="227"/>
        <w:rPr>
          <w:rFonts w:ascii="Open Sans" w:hAnsi="Open Sans" w:cs="Open Sans"/>
          <w:lang w:val="es-ES_tradnl" w:eastAsia="es-ES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 xml:space="preserve">El impulso de las primeras acciones de información </w:t>
      </w:r>
      <w:r w:rsidRPr="00AD1CF0">
        <w:rPr>
          <w:rFonts w:ascii="Open Sans" w:hAnsi="Open Sans" w:cs="Open Sans"/>
          <w:lang w:val="es-ES_tradnl"/>
        </w:rPr>
        <w:t xml:space="preserve">y sensibilización a la plantilla. </w:t>
      </w:r>
    </w:p>
    <w:p w14:paraId="2C08AEFA" w14:textId="642D6E28" w:rsidR="0099009B" w:rsidRPr="00AD1CF0" w:rsidRDefault="0099009B" w:rsidP="00BE5F54">
      <w:pPr>
        <w:pStyle w:val="Textonotapie"/>
        <w:ind w:left="720"/>
        <w:rPr>
          <w:rFonts w:ascii="Open Sans" w:hAnsi="Open Sans" w:cs="Open Sans"/>
        </w:rPr>
      </w:pPr>
    </w:p>
    <w:p w14:paraId="0323CA53" w14:textId="77777777" w:rsidR="0099009B" w:rsidRPr="00AD1CF0" w:rsidRDefault="0099009B" w:rsidP="0099009B">
      <w:pPr>
        <w:pStyle w:val="Prrafodelista"/>
        <w:numPr>
          <w:ilvl w:val="0"/>
          <w:numId w:val="9"/>
        </w:numPr>
        <w:spacing w:before="240" w:after="240" w:line="312" w:lineRule="auto"/>
        <w:ind w:right="227"/>
        <w:rPr>
          <w:rFonts w:ascii="Open Sans" w:hAnsi="Open Sans" w:cs="Open Sans"/>
          <w:b/>
          <w:i/>
          <w:color w:val="2E74B5" w:themeColor="accent1" w:themeShade="BF"/>
          <w:sz w:val="24"/>
          <w:lang w:val="es-ES_tradnl"/>
        </w:rPr>
      </w:pPr>
      <w:r w:rsidRPr="00AD1CF0">
        <w:rPr>
          <w:rFonts w:ascii="Open Sans" w:hAnsi="Open Sans" w:cs="Open Sans"/>
          <w:b/>
          <w:i/>
          <w:color w:val="2E74B5" w:themeColor="accent1" w:themeShade="BF"/>
          <w:sz w:val="24"/>
          <w:lang w:val="es-ES_tradnl"/>
        </w:rPr>
        <w:t>Contenidos y áreas de evaluación.</w:t>
      </w:r>
    </w:p>
    <w:p w14:paraId="0F15729A" w14:textId="77777777" w:rsidR="0099009B" w:rsidRPr="00AD1CF0" w:rsidRDefault="0099009B" w:rsidP="0099009B">
      <w:pPr>
        <w:spacing w:before="240" w:after="240" w:line="312" w:lineRule="auto"/>
        <w:ind w:right="227"/>
        <w:rPr>
          <w:rFonts w:ascii="Open Sans" w:hAnsi="Open Sans" w:cs="Open Sans"/>
          <w:lang w:val="es-ES_tradnl"/>
        </w:rPr>
      </w:pPr>
      <w:r w:rsidRPr="00AD1CF0">
        <w:rPr>
          <w:rFonts w:ascii="Open Sans" w:hAnsi="Open Sans" w:cs="Open Sans"/>
          <w:lang w:val="es-ES_tradnl"/>
        </w:rPr>
        <w:t>Las áreas que se van a evaluar en el citado plan de igualdad son las establecidas en la Ley Orgánica 3/2007, de 22 de marzo, para la igualdad efectiva de mujeres y hombres, que comprenden:</w:t>
      </w:r>
    </w:p>
    <w:p w14:paraId="44DA2403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Proceso de selección y contratación.</w:t>
      </w:r>
    </w:p>
    <w:p w14:paraId="7FA45C0E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Clasificación profesional.</w:t>
      </w:r>
    </w:p>
    <w:p w14:paraId="5F6C848A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Formación.</w:t>
      </w:r>
    </w:p>
    <w:p w14:paraId="61257AEC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Promoción profesional.</w:t>
      </w:r>
    </w:p>
    <w:p w14:paraId="75E992F0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Condiciones de trabajo, incluida la auditoría salarial entre mujeres y hombres.</w:t>
      </w:r>
    </w:p>
    <w:p w14:paraId="1CB6EDE9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Ejercicio corresponsable de los derechos de la vida personal, familiar y laboral.</w:t>
      </w:r>
    </w:p>
    <w:p w14:paraId="30D1CCB3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Infrarrepresentación femenina.</w:t>
      </w:r>
    </w:p>
    <w:p w14:paraId="7BA6CCAF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Retribuciones.</w:t>
      </w:r>
    </w:p>
    <w:p w14:paraId="490757B9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 xml:space="preserve">Prevención del acoso sexual y por razón de sexo. </w:t>
      </w:r>
    </w:p>
    <w:p w14:paraId="39BD41AE" w14:textId="0E808C93" w:rsidR="0099009B" w:rsidRDefault="0099009B" w:rsidP="0099009B">
      <w:pPr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 xml:space="preserve">La organización podrá incluir otras áreas de diagnóstico de forma voluntaria. </w:t>
      </w:r>
    </w:p>
    <w:p w14:paraId="5D643F64" w14:textId="59AB2A26" w:rsidR="00E44EBD" w:rsidRPr="00AE0455" w:rsidRDefault="00E44EBD" w:rsidP="00E44EBD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FF0000"/>
          <w:lang w:eastAsia="es-ES_tradnl"/>
        </w:rPr>
      </w:pPr>
      <w:r w:rsidRPr="00AE0455">
        <w:rPr>
          <w:rFonts w:ascii="Open Sans" w:hAnsi="Open Sans" w:cs="Open Sans"/>
          <w:color w:val="FF0000"/>
          <w:lang w:eastAsia="es-ES_tradnl"/>
        </w:rPr>
        <w:t>Comunicación inclusiva</w:t>
      </w:r>
      <w:r w:rsidR="00335726" w:rsidRPr="00AE0455">
        <w:rPr>
          <w:rFonts w:ascii="Open Sans" w:hAnsi="Open Sans" w:cs="Open Sans"/>
          <w:color w:val="FF0000"/>
          <w:lang w:eastAsia="es-ES_tradnl"/>
        </w:rPr>
        <w:t xml:space="preserve"> y uso no sexista del lenguaje</w:t>
      </w:r>
      <w:r w:rsidRPr="00AE0455">
        <w:rPr>
          <w:rFonts w:ascii="Open Sans" w:hAnsi="Open Sans" w:cs="Open Sans"/>
          <w:color w:val="FF0000"/>
          <w:lang w:eastAsia="es-ES_tradnl"/>
        </w:rPr>
        <w:t xml:space="preserve">. </w:t>
      </w:r>
    </w:p>
    <w:p w14:paraId="0FB6B46A" w14:textId="2E69569E" w:rsidR="00335726" w:rsidRPr="00AE0455" w:rsidRDefault="00335726" w:rsidP="00E44EBD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FF0000"/>
          <w:lang w:eastAsia="es-ES_tradnl"/>
        </w:rPr>
      </w:pPr>
      <w:r w:rsidRPr="00AE0455">
        <w:rPr>
          <w:rFonts w:ascii="Open Sans" w:hAnsi="Open Sans" w:cs="Open Sans"/>
          <w:color w:val="FF0000"/>
          <w:lang w:eastAsia="es-ES_tradnl"/>
        </w:rPr>
        <w:t>Protección a las Víctimas de Violencia de Género.</w:t>
      </w:r>
    </w:p>
    <w:p w14:paraId="565DEE20" w14:textId="2B96DA66" w:rsidR="00E44EBD" w:rsidRPr="00AE0455" w:rsidRDefault="00E44EBD" w:rsidP="00E44EBD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FF0000"/>
          <w:lang w:eastAsia="es-ES_tradnl"/>
        </w:rPr>
      </w:pPr>
      <w:r w:rsidRPr="00AE0455">
        <w:rPr>
          <w:rFonts w:ascii="Open Sans" w:hAnsi="Open Sans" w:cs="Open Sans"/>
          <w:color w:val="FF0000"/>
          <w:lang w:eastAsia="es-ES_tradnl"/>
        </w:rPr>
        <w:t xml:space="preserve">Salud laboral y perspectiva de género. </w:t>
      </w:r>
    </w:p>
    <w:p w14:paraId="2C8D7226" w14:textId="77777777" w:rsidR="0099009B" w:rsidRPr="00AD1CF0" w:rsidRDefault="0099009B" w:rsidP="0099009B">
      <w:pPr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Los indicadores solicitados a la organización serán los establecidos en:</w:t>
      </w:r>
    </w:p>
    <w:p w14:paraId="4960EFA6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Guía para la elaboración de planes de igualdad en las empresas</w:t>
      </w:r>
    </w:p>
    <w:p w14:paraId="26D696F6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Herramienta de autodiagnóstico de brecha salarial de género</w:t>
      </w:r>
    </w:p>
    <w:p w14:paraId="116A252D" w14:textId="77777777" w:rsidR="0099009B" w:rsidRPr="00AD1CF0" w:rsidRDefault="0099009B" w:rsidP="0099009B">
      <w:pPr>
        <w:pStyle w:val="Prrafodelista"/>
        <w:numPr>
          <w:ilvl w:val="0"/>
          <w:numId w:val="5"/>
        </w:numPr>
        <w:ind w:left="714" w:hanging="357"/>
        <w:rPr>
          <w:rFonts w:ascii="Open Sans" w:hAnsi="Open Sans" w:cs="Open Sans"/>
          <w:color w:val="000000" w:themeColor="text1"/>
          <w:lang w:eastAsia="es-ES_tradnl"/>
        </w:rPr>
      </w:pPr>
      <w:r w:rsidRPr="00AD1CF0">
        <w:rPr>
          <w:rFonts w:ascii="Open Sans" w:hAnsi="Open Sans" w:cs="Open Sans"/>
          <w:color w:val="000000" w:themeColor="text1"/>
          <w:lang w:eastAsia="es-ES_tradnl"/>
        </w:rPr>
        <w:t>Sistema de valoración de puestos de trabajo con perspectiva de género</w:t>
      </w:r>
    </w:p>
    <w:p w14:paraId="3DE7DD5B" w14:textId="28AE0A0D" w:rsidR="0094023F" w:rsidRDefault="0094023F">
      <w:pPr>
        <w:spacing w:before="0" w:after="160" w:line="259" w:lineRule="auto"/>
        <w:jc w:val="left"/>
        <w:rPr>
          <w:rFonts w:ascii="Open Sans" w:eastAsia="Montserrat" w:hAnsi="Open Sans" w:cs="Open Sans"/>
          <w:sz w:val="20"/>
          <w:szCs w:val="20"/>
          <w:lang w:eastAsia="es-ES"/>
        </w:rPr>
      </w:pPr>
      <w:r>
        <w:rPr>
          <w:rFonts w:ascii="Open Sans" w:hAnsi="Open Sans" w:cs="Open Sans"/>
        </w:rPr>
        <w:br w:type="page"/>
      </w:r>
    </w:p>
    <w:p w14:paraId="4F6CBFBE" w14:textId="77777777" w:rsidR="009F4DEC" w:rsidRPr="009F4DEC" w:rsidRDefault="00977A96" w:rsidP="00623B2C">
      <w:pPr>
        <w:pStyle w:val="Prrafodelista"/>
        <w:numPr>
          <w:ilvl w:val="0"/>
          <w:numId w:val="9"/>
        </w:numPr>
        <w:rPr>
          <w:rFonts w:ascii="Open Sans" w:hAnsi="Open Sans" w:cs="Open Sans"/>
          <w:color w:val="555555"/>
          <w:sz w:val="23"/>
          <w:szCs w:val="23"/>
        </w:rPr>
      </w:pPr>
      <w:r w:rsidRPr="009F4DEC">
        <w:rPr>
          <w:rFonts w:ascii="Open Sans" w:hAnsi="Open Sans" w:cs="Open Sans"/>
          <w:b/>
          <w:i/>
          <w:color w:val="2E74B5" w:themeColor="accent1" w:themeShade="BF"/>
          <w:sz w:val="24"/>
        </w:rPr>
        <w:lastRenderedPageBreak/>
        <w:t>Régimen de funcionamiento de la Comisión Negociadora</w:t>
      </w:r>
      <w:r w:rsidR="00B63D57" w:rsidRPr="009F4DEC">
        <w:rPr>
          <w:rFonts w:ascii="Open Sans" w:hAnsi="Open Sans" w:cs="Open Sans"/>
          <w:b/>
          <w:i/>
          <w:color w:val="2E74B5" w:themeColor="accent1" w:themeShade="BF"/>
          <w:sz w:val="24"/>
        </w:rPr>
        <w:t xml:space="preserve"> </w:t>
      </w:r>
    </w:p>
    <w:p w14:paraId="18BBF40A" w14:textId="1A04AA53" w:rsidR="00BE5F54" w:rsidRPr="009F4DEC" w:rsidRDefault="00BE5F54" w:rsidP="009F4DEC">
      <w:pPr>
        <w:spacing w:line="360" w:lineRule="auto"/>
        <w:rPr>
          <w:rFonts w:ascii="Open Sans" w:hAnsi="Open Sans" w:cs="Open Sans"/>
          <w:color w:val="555555"/>
          <w:sz w:val="23"/>
          <w:szCs w:val="23"/>
        </w:rPr>
      </w:pPr>
      <w:r w:rsidRPr="009F4DEC">
        <w:rPr>
          <w:rFonts w:ascii="Open Sans" w:hAnsi="Open Sans" w:cs="Open Sans"/>
          <w:lang w:val="es-ES_tradnl"/>
        </w:rPr>
        <w:t xml:space="preserve">La Comisión Negociadora acuerda que se nombre </w:t>
      </w:r>
      <w:r w:rsidR="00C57E46" w:rsidRPr="009F4DEC">
        <w:rPr>
          <w:rFonts w:ascii="Open Sans" w:hAnsi="Open Sans" w:cs="Open Sans"/>
          <w:lang w:val="es-ES_tradnl"/>
        </w:rPr>
        <w:t>en la Presidencia</w:t>
      </w:r>
      <w:r w:rsidRPr="009F4DEC">
        <w:rPr>
          <w:rFonts w:ascii="Open Sans" w:hAnsi="Open Sans" w:cs="Open Sans"/>
          <w:lang w:val="es-ES_tradnl"/>
        </w:rPr>
        <w:t xml:space="preserve">, de entre sus integrantes, a </w:t>
      </w:r>
      <w:r w:rsidR="00335726" w:rsidRPr="009F4DEC">
        <w:rPr>
          <w:rFonts w:ascii="Open Sans" w:hAnsi="Open Sans" w:cs="Open Sans"/>
          <w:color w:val="555555"/>
          <w:lang w:val="es-ES_tradnl"/>
        </w:rPr>
        <w:t>NOMBRE Y APELLIDOS</w:t>
      </w:r>
      <w:r w:rsidRPr="009F4DEC">
        <w:rPr>
          <w:rFonts w:ascii="Open Sans" w:hAnsi="Open Sans" w:cs="Open Sans"/>
          <w:color w:val="555555"/>
        </w:rPr>
        <w:t xml:space="preserve"> </w:t>
      </w:r>
      <w:r w:rsidRPr="009F4DEC">
        <w:rPr>
          <w:rFonts w:ascii="Open Sans" w:hAnsi="Open Sans" w:cs="Open Sans"/>
          <w:lang w:val="es-ES_tradnl"/>
        </w:rPr>
        <w:t>y Secretar</w:t>
      </w:r>
      <w:r w:rsidR="00C57E46" w:rsidRPr="009F4DEC">
        <w:rPr>
          <w:rFonts w:ascii="Open Sans" w:hAnsi="Open Sans" w:cs="Open Sans"/>
          <w:lang w:val="es-ES_tradnl"/>
        </w:rPr>
        <w:t>í</w:t>
      </w:r>
      <w:r w:rsidRPr="009F4DEC">
        <w:rPr>
          <w:rFonts w:ascii="Open Sans" w:hAnsi="Open Sans" w:cs="Open Sans"/>
          <w:lang w:val="es-ES_tradnl"/>
        </w:rPr>
        <w:t>a</w:t>
      </w:r>
      <w:r w:rsidR="00C57E46" w:rsidRPr="009F4DEC">
        <w:rPr>
          <w:rFonts w:ascii="Open Sans" w:hAnsi="Open Sans" w:cs="Open Sans"/>
          <w:lang w:val="es-ES_tradnl"/>
        </w:rPr>
        <w:t xml:space="preserve"> a</w:t>
      </w:r>
      <w:r w:rsidR="00E44EBD" w:rsidRPr="009F4DEC">
        <w:rPr>
          <w:rFonts w:ascii="Open Sans" w:hAnsi="Open Sans" w:cs="Open Sans"/>
          <w:color w:val="555555"/>
          <w:sz w:val="23"/>
          <w:szCs w:val="23"/>
          <w:lang w:val="es-ES_tradnl"/>
        </w:rPr>
        <w:t xml:space="preserve"> </w:t>
      </w:r>
      <w:r w:rsidR="00335726" w:rsidRPr="009F4DEC">
        <w:rPr>
          <w:rFonts w:ascii="Open Sans" w:hAnsi="Open Sans" w:cs="Open Sans"/>
          <w:color w:val="555555"/>
          <w:sz w:val="23"/>
          <w:szCs w:val="23"/>
          <w:lang w:val="es-ES_tradnl"/>
        </w:rPr>
        <w:t>NOMBRE Y APELLIDOS</w:t>
      </w:r>
      <w:r w:rsidRPr="009F4DEC">
        <w:rPr>
          <w:rFonts w:ascii="Open Sans" w:hAnsi="Open Sans" w:cs="Open Sans"/>
          <w:color w:val="555555"/>
          <w:sz w:val="23"/>
          <w:szCs w:val="23"/>
        </w:rPr>
        <w:t>.</w:t>
      </w:r>
      <w:r w:rsidRPr="00AD1CF0">
        <w:rPr>
          <w:rStyle w:val="Refdenotaalpie"/>
          <w:rFonts w:ascii="Open Sans" w:hAnsi="Open Sans" w:cs="Open Sans"/>
          <w:color w:val="555555"/>
          <w:sz w:val="23"/>
          <w:szCs w:val="23"/>
        </w:rPr>
        <w:footnoteReference w:id="3"/>
      </w:r>
    </w:p>
    <w:p w14:paraId="7D8DF24E" w14:textId="77777777" w:rsidR="00BE5F54" w:rsidRPr="00AD1CF0" w:rsidRDefault="00BE5F54" w:rsidP="00BE5F54">
      <w:pPr>
        <w:rPr>
          <w:rFonts w:ascii="Open Sans" w:hAnsi="Open Sans" w:cs="Open Sans"/>
          <w:vertAlign w:val="subscript"/>
          <w:lang w:val="es-ES_tradnl"/>
        </w:rPr>
      </w:pPr>
      <w:r w:rsidRPr="00AD1CF0">
        <w:rPr>
          <w:rFonts w:ascii="Open Sans" w:hAnsi="Open Sans" w:cs="Open Sans"/>
          <w:lang w:val="es-ES_tradnl"/>
        </w:rPr>
        <w:t>Serán funciones de la Presidencia:</w:t>
      </w:r>
    </w:p>
    <w:p w14:paraId="4CCD858A" w14:textId="77777777" w:rsidR="00AE0455" w:rsidRDefault="00AE0455" w:rsidP="00AE0455">
      <w:pPr>
        <w:ind w:left="708"/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 w:rsidRPr="00AD1CF0">
        <w:rPr>
          <w:rFonts w:ascii="Open Sans" w:hAnsi="Open Sans" w:cs="Open Sans"/>
          <w:color w:val="555555"/>
          <w:shd w:val="clear" w:color="auto" w:fill="FFF2CC" w:themeFill="accent4" w:themeFillTint="33"/>
        </w:rPr>
        <w:t>Convocar reuniones</w:t>
      </w:r>
    </w:p>
    <w:p w14:paraId="637C659A" w14:textId="30E6283A" w:rsidR="00C57E46" w:rsidRDefault="00C57E46" w:rsidP="00BE5F54">
      <w:pPr>
        <w:ind w:left="708"/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hd w:val="clear" w:color="auto" w:fill="FFF2CC" w:themeFill="accent4" w:themeFillTint="33"/>
        </w:rPr>
        <w:t>Moderar las reuniones</w:t>
      </w:r>
    </w:p>
    <w:p w14:paraId="3C383540" w14:textId="754B43FE" w:rsidR="00296058" w:rsidRPr="00AD1CF0" w:rsidRDefault="00296058" w:rsidP="00BE5F54">
      <w:pPr>
        <w:ind w:left="708"/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 w:rsidRPr="00AD1CF0">
        <w:rPr>
          <w:rFonts w:ascii="Open Sans" w:hAnsi="Open Sans" w:cs="Open Sans"/>
          <w:color w:val="555555"/>
          <w:shd w:val="clear" w:color="auto" w:fill="FFF2CC" w:themeFill="accent4" w:themeFillTint="33"/>
        </w:rPr>
        <w:t>Mediar entre los desacuerdos de las partes</w:t>
      </w:r>
    </w:p>
    <w:p w14:paraId="09BE443F" w14:textId="77777777" w:rsidR="00BE5F54" w:rsidRPr="00AD1CF0" w:rsidRDefault="00BE5F54" w:rsidP="00BE5F54">
      <w:pPr>
        <w:rPr>
          <w:rFonts w:ascii="Open Sans" w:hAnsi="Open Sans" w:cs="Open Sans"/>
          <w:vertAlign w:val="subscript"/>
          <w:lang w:val="es-ES_tradnl"/>
        </w:rPr>
      </w:pPr>
      <w:r w:rsidRPr="00AD1CF0">
        <w:rPr>
          <w:rFonts w:ascii="Open Sans" w:hAnsi="Open Sans" w:cs="Open Sans"/>
          <w:lang w:val="es-ES_tradnl"/>
        </w:rPr>
        <w:t>Serán funciones de la Secretaría:</w:t>
      </w:r>
    </w:p>
    <w:p w14:paraId="05BDFD09" w14:textId="0E4B2EB3" w:rsidR="00C57E46" w:rsidRDefault="00C57E46" w:rsidP="00C57E46">
      <w:pPr>
        <w:ind w:left="708"/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 w:rsidRPr="00AD1CF0">
        <w:rPr>
          <w:rFonts w:ascii="Open Sans" w:hAnsi="Open Sans" w:cs="Open Sans"/>
          <w:color w:val="555555"/>
          <w:shd w:val="clear" w:color="auto" w:fill="FFF2CC" w:themeFill="accent4" w:themeFillTint="33"/>
        </w:rPr>
        <w:t>Convocar reuniones</w:t>
      </w:r>
    </w:p>
    <w:p w14:paraId="634CE89F" w14:textId="631708EB" w:rsidR="00BE5F54" w:rsidRPr="00AD1CF0" w:rsidRDefault="00296058" w:rsidP="00BE5F54">
      <w:pPr>
        <w:ind w:left="708"/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 w:rsidRPr="00AD1CF0">
        <w:rPr>
          <w:rFonts w:ascii="Open Sans" w:hAnsi="Open Sans" w:cs="Open Sans"/>
          <w:color w:val="555555"/>
          <w:shd w:val="clear" w:color="auto" w:fill="FFF2CC" w:themeFill="accent4" w:themeFillTint="33"/>
        </w:rPr>
        <w:t>Redactar las actas de las reuniones</w:t>
      </w:r>
    </w:p>
    <w:p w14:paraId="18EE6F18" w14:textId="63AFE3F6" w:rsidR="00296058" w:rsidRPr="00AD1CF0" w:rsidRDefault="00296058" w:rsidP="00BE5F54">
      <w:pPr>
        <w:ind w:left="708"/>
        <w:rPr>
          <w:rFonts w:ascii="Open Sans" w:hAnsi="Open Sans" w:cs="Open Sans"/>
          <w:color w:val="555555"/>
          <w:shd w:val="clear" w:color="auto" w:fill="FFF2CC" w:themeFill="accent4" w:themeFillTint="33"/>
        </w:rPr>
      </w:pPr>
      <w:r w:rsidRPr="00AD1CF0">
        <w:rPr>
          <w:rFonts w:ascii="Open Sans" w:hAnsi="Open Sans" w:cs="Open Sans"/>
          <w:color w:val="555555"/>
          <w:shd w:val="clear" w:color="auto" w:fill="FFF2CC" w:themeFill="accent4" w:themeFillTint="33"/>
        </w:rPr>
        <w:t>Asegurar la firma de las actas y salvaguardarlas</w:t>
      </w:r>
      <w:r w:rsidR="009C479E" w:rsidRPr="00AD1CF0">
        <w:rPr>
          <w:rFonts w:ascii="Open Sans" w:hAnsi="Open Sans" w:cs="Open Sans"/>
          <w:color w:val="555555"/>
          <w:shd w:val="clear" w:color="auto" w:fill="FFF2CC" w:themeFill="accent4" w:themeFillTint="33"/>
        </w:rPr>
        <w:t xml:space="preserve"> para el registro del plan</w:t>
      </w:r>
    </w:p>
    <w:p w14:paraId="40F9D92B" w14:textId="77777777" w:rsidR="00BE5F54" w:rsidRPr="00AD1CF0" w:rsidRDefault="00BE5F54" w:rsidP="00BE5F54">
      <w:pPr>
        <w:rPr>
          <w:rFonts w:ascii="Open Sans" w:hAnsi="Open Sans" w:cs="Open Sans"/>
          <w:lang w:val="es-ES_tradnl"/>
        </w:rPr>
      </w:pPr>
      <w:r w:rsidRPr="00AD1CF0">
        <w:rPr>
          <w:rFonts w:ascii="Open Sans" w:hAnsi="Open Sans" w:cs="Open Sans"/>
          <w:lang w:val="es-ES_tradnl"/>
        </w:rPr>
        <w:t>De la presente reunión levantará acta la representación empresarial.</w:t>
      </w:r>
    </w:p>
    <w:p w14:paraId="4C0D196B" w14:textId="77777777" w:rsidR="00BE5F54" w:rsidRPr="00AD1CF0" w:rsidRDefault="00BE5F54" w:rsidP="00BE5F54">
      <w:pPr>
        <w:spacing w:after="120"/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</w:pPr>
      <w:r w:rsidRPr="00AD1CF0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 xml:space="preserve">3.1. Reuniones de la Comisión Negociadora. </w:t>
      </w:r>
    </w:p>
    <w:p w14:paraId="2D94ECB2" w14:textId="28550469" w:rsidR="00BE5F54" w:rsidRPr="00AD1CF0" w:rsidRDefault="00BE5F54" w:rsidP="00BE5F54">
      <w:pPr>
        <w:rPr>
          <w:rFonts w:ascii="Open Sans" w:hAnsi="Open Sans" w:cs="Open Sans"/>
          <w:lang w:val="es-ES_tradnl"/>
        </w:rPr>
      </w:pPr>
      <w:r w:rsidRPr="00AD1CF0">
        <w:rPr>
          <w:rFonts w:ascii="Open Sans" w:hAnsi="Open Sans" w:cs="Open Sans"/>
          <w:lang w:val="es-ES_tradnl"/>
        </w:rPr>
        <w:t xml:space="preserve">La comisión acuerda reunirse </w:t>
      </w:r>
      <w:r w:rsidR="00E44EBD">
        <w:rPr>
          <w:rFonts w:ascii="Open Sans" w:hAnsi="Open Sans" w:cs="Open Sans"/>
          <w:lang w:val="es-ES_tradnl"/>
        </w:rPr>
        <w:t xml:space="preserve">al menos dos veces de forma ordinaria y las requeridas por las partes de forma extraordinaria, </w:t>
      </w:r>
      <w:r w:rsidRPr="00AD1CF0">
        <w:rPr>
          <w:rFonts w:ascii="Open Sans" w:hAnsi="Open Sans" w:cs="Open Sans"/>
          <w:lang w:val="es-ES_tradnl"/>
        </w:rPr>
        <w:t>y establece la siguiente agenda de reuniones para la negociación y elaboración del Plan de Igualdad.</w:t>
      </w:r>
    </w:p>
    <w:p w14:paraId="454945CD" w14:textId="77777777" w:rsidR="00BE5F54" w:rsidRPr="00AD1CF0" w:rsidRDefault="00BE5F54" w:rsidP="00BE5F54">
      <w:pPr>
        <w:rPr>
          <w:rFonts w:ascii="Open Sans" w:hAnsi="Open Sans" w:cs="Open Sans"/>
          <w:lang w:val="es-ES_tradnl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 xml:space="preserve">En cada reunión se levantará un acta, en la que se hará constar: </w:t>
      </w:r>
    </w:p>
    <w:p w14:paraId="27079AD9" w14:textId="77777777" w:rsidR="00BE5F54" w:rsidRPr="00AD1CF0" w:rsidRDefault="00BE5F54" w:rsidP="00BE5F54">
      <w:pPr>
        <w:pStyle w:val="Prrafodelista"/>
        <w:numPr>
          <w:ilvl w:val="0"/>
          <w:numId w:val="7"/>
        </w:numPr>
        <w:ind w:left="714" w:hanging="357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 xml:space="preserve">El resumen de las materias tratadas. </w:t>
      </w:r>
    </w:p>
    <w:p w14:paraId="69CC3459" w14:textId="77777777" w:rsidR="00BE5F54" w:rsidRPr="00AD1CF0" w:rsidRDefault="00BE5F54" w:rsidP="00BE5F54">
      <w:pPr>
        <w:pStyle w:val="Prrafodelista"/>
        <w:numPr>
          <w:ilvl w:val="0"/>
          <w:numId w:val="7"/>
        </w:numPr>
        <w:ind w:left="714" w:hanging="357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 xml:space="preserve">Los acuerdos totales o parciales adoptados. </w:t>
      </w:r>
    </w:p>
    <w:p w14:paraId="5A01190A" w14:textId="77777777" w:rsidR="00BE5F54" w:rsidRPr="00AD1CF0" w:rsidRDefault="00BE5F54" w:rsidP="00BE5F54">
      <w:pPr>
        <w:pStyle w:val="Prrafodelista"/>
        <w:numPr>
          <w:ilvl w:val="0"/>
          <w:numId w:val="7"/>
        </w:numPr>
        <w:ind w:left="714" w:hanging="357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 xml:space="preserve">Los puntos sobre los que no haya acuerdo, que se podrán retomar, en su caso, más adelante en otras reuniones. </w:t>
      </w:r>
    </w:p>
    <w:p w14:paraId="772A853F" w14:textId="77A0011A" w:rsidR="00BE5F54" w:rsidRDefault="00BE5F54" w:rsidP="00BE5F54">
      <w:pPr>
        <w:pStyle w:val="Prrafodelista"/>
        <w:numPr>
          <w:ilvl w:val="0"/>
          <w:numId w:val="7"/>
        </w:numPr>
        <w:ind w:left="714" w:hanging="357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lastRenderedPageBreak/>
        <w:t>Las actas serán aprobadas y firmadas, con manifestaciones de parte, si fuera necesario.</w:t>
      </w:r>
    </w:p>
    <w:p w14:paraId="505742F2" w14:textId="4A72CBFA" w:rsidR="00223601" w:rsidRPr="00223601" w:rsidRDefault="00223601" w:rsidP="0022360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En la última reunión de la Comisión Negociadora se aprobará la disolución de la presente Comisión y se constituirá la Comisión de Igualdad y/o de seguimiento para el establecimiento del plan durante el periodo de vigencia. </w:t>
      </w:r>
    </w:p>
    <w:p w14:paraId="3546C251" w14:textId="77777777" w:rsidR="00BE5F54" w:rsidRPr="00180AF6" w:rsidRDefault="00BE5F54" w:rsidP="00BE5F54">
      <w:pPr>
        <w:spacing w:before="360"/>
        <w:rPr>
          <w:rFonts w:ascii="Open Sans" w:hAnsi="Open Sans" w:cs="Open Sans"/>
          <w:b/>
          <w:bCs/>
          <w:sz w:val="26"/>
          <w:szCs w:val="26"/>
          <w:lang w:val="es-ES_tradnl"/>
        </w:rPr>
      </w:pPr>
      <w:r w:rsidRPr="00AD1CF0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>3.2. Adopción de Acuerdos.</w:t>
      </w:r>
    </w:p>
    <w:p w14:paraId="76995DC9" w14:textId="7BDDD531" w:rsidR="00BE5F54" w:rsidRPr="00180AF6" w:rsidRDefault="00BE5F54" w:rsidP="00BE5F54">
      <w:pPr>
        <w:spacing w:before="240" w:after="240" w:line="312" w:lineRule="auto"/>
        <w:ind w:right="227"/>
        <w:rPr>
          <w:rFonts w:ascii="Open Sans" w:hAnsi="Open Sans" w:cs="Open Sans"/>
          <w:lang w:val="es-ES_tradnl"/>
        </w:rPr>
      </w:pPr>
      <w:r w:rsidRPr="00180AF6">
        <w:rPr>
          <w:rFonts w:ascii="Open Sans" w:hAnsi="Open Sans" w:cs="Open Sans"/>
          <w:lang w:val="es-ES_tradnl"/>
        </w:rPr>
        <w:t>Las partes negociarán de buena fe, con vistas a la consecución de un acuerdo</w:t>
      </w:r>
      <w:r w:rsidR="00C57E46" w:rsidRPr="00180AF6">
        <w:rPr>
          <w:rFonts w:ascii="Open Sans" w:hAnsi="Open Sans" w:cs="Open Sans"/>
          <w:lang w:val="es-ES_tradnl"/>
        </w:rPr>
        <w:t xml:space="preserve">. Si el acuerdo no puede ser total por </w:t>
      </w:r>
      <w:commentRangeStart w:id="3"/>
      <w:r w:rsidR="00C57E46" w:rsidRPr="00AE0455">
        <w:rPr>
          <w:rFonts w:ascii="Open Sans" w:hAnsi="Open Sans" w:cs="Open Sans"/>
          <w:color w:val="FF0000"/>
          <w:lang w:val="es-ES_tradnl"/>
        </w:rPr>
        <w:t>unanimidad de ambas partes</w:t>
      </w:r>
      <w:commentRangeEnd w:id="3"/>
      <w:r w:rsidR="009F4DEC">
        <w:rPr>
          <w:rStyle w:val="Refdecomentario"/>
        </w:rPr>
        <w:commentReference w:id="3"/>
      </w:r>
      <w:r w:rsidR="00C57E46" w:rsidRPr="00180AF6">
        <w:rPr>
          <w:rFonts w:ascii="Open Sans" w:hAnsi="Open Sans" w:cs="Open Sans"/>
          <w:lang w:val="es-ES_tradnl"/>
        </w:rPr>
        <w:t xml:space="preserve">, se requerirá para el acuerdo parcial el voto a favor de la parte </w:t>
      </w:r>
      <w:r w:rsidR="00AE0455" w:rsidRPr="00180AF6">
        <w:rPr>
          <w:rFonts w:ascii="Open Sans" w:hAnsi="Open Sans" w:cs="Open Sans"/>
          <w:lang w:val="es-ES_tradnl"/>
        </w:rPr>
        <w:t>empresarial,</w:t>
      </w:r>
      <w:r w:rsidR="00C57E46" w:rsidRPr="00180AF6">
        <w:rPr>
          <w:rFonts w:ascii="Open Sans" w:hAnsi="Open Sans" w:cs="Open Sans"/>
          <w:lang w:val="es-ES_tradnl"/>
        </w:rPr>
        <w:t xml:space="preserve"> así como de</w:t>
      </w:r>
      <w:r w:rsidRPr="00180AF6">
        <w:rPr>
          <w:rFonts w:ascii="Open Sans" w:hAnsi="Open Sans" w:cs="Open Sans"/>
          <w:lang w:val="es-ES_tradnl"/>
        </w:rPr>
        <w:t xml:space="preserve"> la mayoría </w:t>
      </w:r>
      <w:r w:rsidR="00C57E46" w:rsidRPr="00180AF6">
        <w:rPr>
          <w:rFonts w:ascii="Open Sans" w:hAnsi="Open Sans" w:cs="Open Sans"/>
          <w:lang w:val="es-ES_tradnl"/>
        </w:rPr>
        <w:t xml:space="preserve">simple </w:t>
      </w:r>
      <w:r w:rsidRPr="00180AF6">
        <w:rPr>
          <w:rFonts w:ascii="Open Sans" w:hAnsi="Open Sans" w:cs="Open Sans"/>
          <w:lang w:val="es-ES_tradnl"/>
        </w:rPr>
        <w:t xml:space="preserve">de </w:t>
      </w:r>
      <w:r w:rsidR="00C57E46" w:rsidRPr="00180AF6">
        <w:rPr>
          <w:rFonts w:ascii="Open Sans" w:hAnsi="Open Sans" w:cs="Open Sans"/>
          <w:lang w:val="es-ES_tradnl"/>
        </w:rPr>
        <w:t>la parte social</w:t>
      </w:r>
      <w:r w:rsidR="00180AF6">
        <w:rPr>
          <w:rFonts w:ascii="Open Sans" w:hAnsi="Open Sans" w:cs="Open Sans"/>
          <w:lang w:val="es-ES_tradnl"/>
        </w:rPr>
        <w:t xml:space="preserve">, </w:t>
      </w:r>
      <w:proofErr w:type="gramStart"/>
      <w:r w:rsidR="00180AF6">
        <w:rPr>
          <w:rFonts w:ascii="Open Sans" w:hAnsi="Open Sans" w:cs="Open Sans"/>
          <w:lang w:val="es-ES_tradnl"/>
        </w:rPr>
        <w:t>de acuerdo a</w:t>
      </w:r>
      <w:proofErr w:type="gramEnd"/>
      <w:r w:rsidR="00180AF6">
        <w:rPr>
          <w:rFonts w:ascii="Open Sans" w:hAnsi="Open Sans" w:cs="Open Sans"/>
          <w:lang w:val="es-ES_tradnl"/>
        </w:rPr>
        <w:t xml:space="preserve"> su representatividad.</w:t>
      </w:r>
    </w:p>
    <w:p w14:paraId="74AFE958" w14:textId="71DA4367" w:rsidR="00BE5F54" w:rsidRPr="00C57E46" w:rsidRDefault="00BE5F54" w:rsidP="00BE5F54">
      <w:pPr>
        <w:spacing w:before="240" w:after="240" w:line="312" w:lineRule="auto"/>
        <w:ind w:right="227"/>
        <w:rPr>
          <w:rFonts w:ascii="Open Sans" w:hAnsi="Open Sans" w:cs="Open Sans"/>
          <w:color w:val="FF0000"/>
          <w:lang w:val="es-ES_tradnl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>La Comisión Negociadora podrá contar con el apoyo y asesoramiento externo especializado en materia de igualdad entre mujeres y hombres en el ámbito laboral, de</w:t>
      </w:r>
      <w:r w:rsidR="00592E51" w:rsidRPr="00AD1CF0">
        <w:rPr>
          <w:rFonts w:ascii="Open Sans" w:hAnsi="Open Sans" w:cs="Open Sans"/>
          <w:color w:val="000000" w:themeColor="text1"/>
          <w:lang w:val="es-ES_tradnl"/>
        </w:rPr>
        <w:t xml:space="preserve"> </w:t>
      </w:r>
      <w:commentRangeStart w:id="4"/>
      <w:r w:rsidR="009F4DEC" w:rsidRPr="009F4DEC">
        <w:rPr>
          <w:rFonts w:ascii="Open Sans" w:hAnsi="Open Sans" w:cs="Open Sans"/>
          <w:b/>
          <w:bCs/>
          <w:color w:val="FF0000"/>
          <w:lang w:val="es-ES_tradnl"/>
        </w:rPr>
        <w:t>CONSULTORÍA EXTERNA</w:t>
      </w:r>
      <w:commentRangeEnd w:id="4"/>
      <w:r w:rsidR="009F4DEC">
        <w:rPr>
          <w:rStyle w:val="Refdecomentario"/>
        </w:rPr>
        <w:commentReference w:id="4"/>
      </w:r>
      <w:r w:rsidRPr="00AD1CF0">
        <w:rPr>
          <w:rFonts w:ascii="Open Sans" w:hAnsi="Open Sans" w:cs="Open Sans"/>
          <w:color w:val="000000" w:themeColor="text1"/>
          <w:lang w:val="es-ES_tradnl"/>
        </w:rPr>
        <w:t>, que intervendrá con voz, pero sin voto</w:t>
      </w:r>
      <w:r w:rsidR="00AD4D87">
        <w:rPr>
          <w:rFonts w:ascii="Open Sans" w:hAnsi="Open Sans" w:cs="Open Sans"/>
          <w:color w:val="000000" w:themeColor="text1"/>
          <w:lang w:val="es-ES_tradnl"/>
        </w:rPr>
        <w:t xml:space="preserve">, asimismo la parte social podrá contar con otras personas que les asesoren durante el proceso de elaboración y negociación del plan que intervendrán también con </w:t>
      </w:r>
      <w:proofErr w:type="gramStart"/>
      <w:r w:rsidR="00AD4D87">
        <w:rPr>
          <w:rFonts w:ascii="Open Sans" w:hAnsi="Open Sans" w:cs="Open Sans"/>
          <w:color w:val="000000" w:themeColor="text1"/>
          <w:lang w:val="es-ES_tradnl"/>
        </w:rPr>
        <w:t>voz</w:t>
      </w:r>
      <w:proofErr w:type="gramEnd"/>
      <w:r w:rsidR="00AD4D87">
        <w:rPr>
          <w:rFonts w:ascii="Open Sans" w:hAnsi="Open Sans" w:cs="Open Sans"/>
          <w:color w:val="000000" w:themeColor="text1"/>
          <w:lang w:val="es-ES_tradnl"/>
        </w:rPr>
        <w:t xml:space="preserve"> pero sin voto.</w:t>
      </w:r>
      <w:r w:rsidR="00395F9F">
        <w:rPr>
          <w:rFonts w:ascii="Open Sans" w:hAnsi="Open Sans" w:cs="Open Sans"/>
          <w:color w:val="000000" w:themeColor="text1"/>
          <w:lang w:val="es-ES_tradnl"/>
        </w:rPr>
        <w:t xml:space="preserve"> </w:t>
      </w:r>
    </w:p>
    <w:p w14:paraId="1B97C297" w14:textId="45B7B4B4" w:rsidR="00BE5F54" w:rsidRPr="00AD1CF0" w:rsidRDefault="00BE5F54" w:rsidP="00BE5F54">
      <w:pPr>
        <w:spacing w:before="240" w:after="240" w:line="312" w:lineRule="auto"/>
        <w:ind w:right="227"/>
        <w:rPr>
          <w:rFonts w:ascii="Open Sans" w:hAnsi="Open Sans" w:cs="Open Sans"/>
          <w:color w:val="000000" w:themeColor="text1"/>
          <w:lang w:val="es-ES_tradnl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>En caso de desacuerdo, la Comisión Negociadora podrá acudir a los procedimientos y órganos de solución autónoma de conflictos</w:t>
      </w:r>
      <w:r w:rsidR="00C57E46">
        <w:rPr>
          <w:rFonts w:ascii="Open Sans" w:hAnsi="Open Sans" w:cs="Open Sans"/>
          <w:color w:val="000000" w:themeColor="text1"/>
          <w:lang w:val="es-ES_tradnl"/>
        </w:rPr>
        <w:t xml:space="preserve"> (SIMA)</w:t>
      </w:r>
      <w:r w:rsidRPr="00AD1CF0">
        <w:rPr>
          <w:rFonts w:ascii="Open Sans" w:hAnsi="Open Sans" w:cs="Open Sans"/>
          <w:color w:val="000000" w:themeColor="text1"/>
          <w:lang w:val="es-ES_tradnl"/>
        </w:rPr>
        <w:t xml:space="preserve">, si así se acuerda, previa intervención de la comisión paritaria del convenio correspondiente, cuando en el mismo se haya previsto para estos casos. </w:t>
      </w:r>
    </w:p>
    <w:p w14:paraId="2810EACE" w14:textId="30227F4B" w:rsidR="00BE5F54" w:rsidRPr="00AD1CF0" w:rsidRDefault="00BE5F54" w:rsidP="00BE5F54">
      <w:pPr>
        <w:spacing w:before="240" w:after="240" w:line="312" w:lineRule="auto"/>
        <w:ind w:right="227"/>
        <w:rPr>
          <w:rFonts w:ascii="Open Sans" w:hAnsi="Open Sans" w:cs="Open Sans"/>
          <w:color w:val="000000" w:themeColor="text1"/>
          <w:lang w:val="es-ES_tradnl"/>
        </w:rPr>
      </w:pPr>
      <w:r w:rsidRPr="00AD1CF0">
        <w:rPr>
          <w:rFonts w:ascii="Open Sans" w:hAnsi="Open Sans" w:cs="Open Sans"/>
          <w:color w:val="000000" w:themeColor="text1"/>
          <w:lang w:val="es-ES_tradnl"/>
        </w:rPr>
        <w:t>El resultado de las negociaciones se plasmará por escrito y se firmará por las partes negociadoras para su posterior remisión a la autoridad laboral competente a los efectos de registro, depósito y publicidad del Plan de Igualdad en los términos previstos en el Real Decreto 713/2010, de 28 de mayo, sobre registro y depósito de convenios y acuerdos colectivos de trabajo.</w:t>
      </w:r>
    </w:p>
    <w:p w14:paraId="2C0CB369" w14:textId="77777777" w:rsidR="00BE5F54" w:rsidRPr="00AD1CF0" w:rsidRDefault="00BE5F54" w:rsidP="00BE5F54">
      <w:pPr>
        <w:spacing w:before="360"/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</w:pPr>
      <w:r w:rsidRPr="00AD1CF0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>3.3 Confidencialidad.</w:t>
      </w:r>
    </w:p>
    <w:p w14:paraId="7E4B7D10" w14:textId="08223B81" w:rsidR="00BE5F54" w:rsidRPr="00AD1CF0" w:rsidRDefault="00BE5F54" w:rsidP="00BE5F54">
      <w:pPr>
        <w:spacing w:after="120" w:line="312" w:lineRule="auto"/>
        <w:ind w:right="227"/>
        <w:rPr>
          <w:rFonts w:ascii="Open Sans" w:hAnsi="Open Sans" w:cs="Open Sans"/>
          <w:color w:val="000000"/>
          <w:lang w:val="es-ES_tradnl"/>
        </w:rPr>
      </w:pPr>
      <w:r w:rsidRPr="00AD1CF0">
        <w:rPr>
          <w:rFonts w:ascii="Open Sans" w:hAnsi="Open Sans" w:cs="Open Sans"/>
          <w:color w:val="000000"/>
          <w:lang w:val="es-ES_tradnl"/>
        </w:rPr>
        <w:t xml:space="preserve">Las personas que integran la Comisión Negociadora, así como, en su caso, las personas expertas que la </w:t>
      </w:r>
      <w:r w:rsidR="00592E51" w:rsidRPr="00AD1CF0">
        <w:rPr>
          <w:rFonts w:ascii="Open Sans" w:hAnsi="Open Sans" w:cs="Open Sans"/>
          <w:color w:val="000000"/>
          <w:lang w:val="es-ES_tradnl"/>
        </w:rPr>
        <w:t>asistan</w:t>
      </w:r>
      <w:r w:rsidRPr="00AD1CF0">
        <w:rPr>
          <w:rFonts w:ascii="Open Sans" w:hAnsi="Open Sans" w:cs="Open Sans"/>
          <w:color w:val="000000"/>
          <w:lang w:val="es-ES_tradnl"/>
        </w:rPr>
        <w:t xml:space="preserve"> deberán observar en todo momento el deber de </w:t>
      </w:r>
      <w:r w:rsidRPr="00AD1CF0">
        <w:rPr>
          <w:rFonts w:ascii="Open Sans" w:hAnsi="Open Sans" w:cs="Open Sans"/>
          <w:color w:val="000000"/>
          <w:lang w:val="es-ES_tradnl"/>
        </w:rPr>
        <w:lastRenderedPageBreak/>
        <w:t xml:space="preserve">sigilo con respecto a aquella información que les haya sido expresamente comunicada con carácter reservado. </w:t>
      </w:r>
    </w:p>
    <w:p w14:paraId="50AAC746" w14:textId="02271060" w:rsidR="00977A96" w:rsidRPr="00AD1CF0" w:rsidRDefault="00BE5F54" w:rsidP="0099009B">
      <w:pPr>
        <w:spacing w:after="120" w:line="312" w:lineRule="auto"/>
        <w:ind w:right="227"/>
        <w:rPr>
          <w:rFonts w:ascii="Open Sans" w:hAnsi="Open Sans" w:cs="Open Sans"/>
          <w:color w:val="000000"/>
          <w:lang w:val="es-ES_tradnl"/>
        </w:rPr>
      </w:pPr>
      <w:r w:rsidRPr="00AD1CF0">
        <w:rPr>
          <w:rFonts w:ascii="Open Sans" w:hAnsi="Open Sans" w:cs="Open Sans"/>
          <w:color w:val="000000"/>
          <w:lang w:val="es-ES_tradnl"/>
        </w:rPr>
        <w:t xml:space="preserve">En todo caso, ningún tipo de documento entregado por la empresa a esta Comisión podrá ser utilizado fuera del estricto ámbito de aquella ni para fines distintos de los que motivaron su entrega. </w:t>
      </w:r>
    </w:p>
    <w:p w14:paraId="5CF0A54F" w14:textId="791B5815" w:rsidR="00BE5F54" w:rsidRPr="00AD1CF0" w:rsidRDefault="00BE5F54" w:rsidP="00BE5F54">
      <w:pPr>
        <w:spacing w:before="360"/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</w:pPr>
      <w:r w:rsidRPr="00AD1CF0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 xml:space="preserve">3.4. </w:t>
      </w:r>
      <w:r w:rsidR="00C57E46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>Régimen de suplencias de los</w:t>
      </w:r>
      <w:r w:rsidR="00D52185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 xml:space="preserve"> y las</w:t>
      </w:r>
      <w:r w:rsidR="00C57E46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 xml:space="preserve"> miembros de</w:t>
      </w:r>
      <w:r w:rsidRPr="00AD1CF0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 xml:space="preserve"> la Comisión Negociadora.</w:t>
      </w:r>
    </w:p>
    <w:p w14:paraId="1702B625" w14:textId="6B0C2284" w:rsidR="00BE5F54" w:rsidRPr="00AD1CF0" w:rsidRDefault="00BE5F54" w:rsidP="00BE5F54">
      <w:pPr>
        <w:spacing w:after="120" w:line="312" w:lineRule="auto"/>
        <w:ind w:right="227"/>
        <w:rPr>
          <w:rFonts w:ascii="Open Sans" w:hAnsi="Open Sans" w:cs="Open Sans"/>
          <w:color w:val="000000"/>
          <w:lang w:val="es-ES_tradnl"/>
        </w:rPr>
      </w:pPr>
      <w:r w:rsidRPr="00AD1CF0">
        <w:rPr>
          <w:rFonts w:ascii="Open Sans" w:hAnsi="Open Sans" w:cs="Open Sans"/>
          <w:color w:val="000000"/>
          <w:lang w:val="es-ES_tradnl"/>
        </w:rPr>
        <w:t xml:space="preserve">Las personas que integren la Comisión Negociadora serán sustituidas en caso de vacancia, ausencia, dimisión, finalización del mandato o que le sea retirado por las personas que las designaron, por imposibilidad o causa </w:t>
      </w:r>
      <w:r w:rsidR="00592E51" w:rsidRPr="00AD1CF0">
        <w:rPr>
          <w:rFonts w:ascii="Open Sans" w:hAnsi="Open Sans" w:cs="Open Sans"/>
          <w:color w:val="000000"/>
          <w:lang w:val="es-ES_tradnl"/>
        </w:rPr>
        <w:t>justificada.</w:t>
      </w:r>
      <w:r w:rsidRPr="00AD1CF0">
        <w:rPr>
          <w:rFonts w:ascii="Open Sans" w:hAnsi="Open Sans" w:cs="Open Sans"/>
          <w:color w:val="000000"/>
          <w:lang w:val="es-ES_tradnl"/>
        </w:rPr>
        <w:t xml:space="preserve"> </w:t>
      </w:r>
    </w:p>
    <w:p w14:paraId="5E12793D" w14:textId="77777777" w:rsidR="00BE5F54" w:rsidRPr="00AD1CF0" w:rsidRDefault="00BE5F54" w:rsidP="00BE5F54">
      <w:pPr>
        <w:spacing w:after="120" w:line="312" w:lineRule="auto"/>
        <w:ind w:right="227"/>
        <w:rPr>
          <w:rFonts w:ascii="Open Sans" w:hAnsi="Open Sans" w:cs="Open Sans"/>
          <w:color w:val="000000"/>
          <w:lang w:val="es-ES_tradnl"/>
        </w:rPr>
      </w:pPr>
      <w:r w:rsidRPr="00AD1CF0">
        <w:rPr>
          <w:rFonts w:ascii="Open Sans" w:hAnsi="Open Sans" w:cs="Open Sans"/>
          <w:color w:val="000000"/>
          <w:lang w:val="es-ES_tradnl"/>
        </w:rPr>
        <w:t xml:space="preserve">Las personas que dejen de formar parte de la Comisión Negociadora y que representen a la empresa serán reemplazadas por esta, y si representan a la plantilla serán reemplazadas por el órgano de representación legal y/o sindical de la plantilla de conformidad con su régimen de funcionamiento interno. </w:t>
      </w:r>
    </w:p>
    <w:p w14:paraId="05C20429" w14:textId="2645E8EA" w:rsidR="00BE5F54" w:rsidRDefault="00BE5F54" w:rsidP="00BE5F54">
      <w:pPr>
        <w:spacing w:after="120" w:line="312" w:lineRule="auto"/>
        <w:ind w:right="227"/>
        <w:rPr>
          <w:rFonts w:ascii="Open Sans" w:hAnsi="Open Sans" w:cs="Open Sans"/>
          <w:color w:val="000000"/>
          <w:lang w:val="es-ES_tradnl"/>
        </w:rPr>
      </w:pPr>
      <w:r w:rsidRPr="00AD1CF0">
        <w:rPr>
          <w:rFonts w:ascii="Open Sans" w:hAnsi="Open Sans" w:cs="Open Sans"/>
          <w:color w:val="000000"/>
          <w:lang w:val="es-ES_tradnl"/>
        </w:rPr>
        <w:t>En el supuesto de sustitución se formalizará por escrito la fecha de la sustitución y motivo, indicando nombre, apellidos, DNI y cargo tanto de la persona saliente, como de la entrante. El documento se anexará al acta constitutiva de la Comisión Negociadora.</w:t>
      </w:r>
    </w:p>
    <w:p w14:paraId="630520CA" w14:textId="656E0AC3" w:rsidR="00C57E46" w:rsidRPr="00AD4D87" w:rsidRDefault="00C57E46" w:rsidP="00BE5F54">
      <w:pPr>
        <w:spacing w:after="120" w:line="312" w:lineRule="auto"/>
        <w:ind w:right="227"/>
        <w:rPr>
          <w:rFonts w:ascii="Open Sans" w:hAnsi="Open Sans" w:cs="Open Sans"/>
          <w:lang w:val="es-ES_tradnl"/>
        </w:rPr>
      </w:pPr>
      <w:r w:rsidRPr="00AD4D87">
        <w:rPr>
          <w:rFonts w:ascii="Open Sans" w:hAnsi="Open Sans" w:cs="Open Sans"/>
          <w:lang w:val="es-ES_tradnl"/>
        </w:rPr>
        <w:t xml:space="preserve">En casos de </w:t>
      </w:r>
      <w:r w:rsidR="00990FB5" w:rsidRPr="00AD4D87">
        <w:rPr>
          <w:rFonts w:ascii="Open Sans" w:hAnsi="Open Sans" w:cs="Open Sans"/>
          <w:lang w:val="es-ES_tradnl"/>
        </w:rPr>
        <w:t xml:space="preserve">que se prevea la ausencia regular o reiterada de alguno de los </w:t>
      </w:r>
      <w:r w:rsidR="00D52185">
        <w:rPr>
          <w:rFonts w:ascii="Open Sans" w:hAnsi="Open Sans" w:cs="Open Sans"/>
          <w:lang w:val="es-ES_tradnl"/>
        </w:rPr>
        <w:t xml:space="preserve">y las </w:t>
      </w:r>
      <w:r w:rsidR="00990FB5" w:rsidRPr="00AD4D87">
        <w:rPr>
          <w:rFonts w:ascii="Open Sans" w:hAnsi="Open Sans" w:cs="Open Sans"/>
          <w:lang w:val="es-ES_tradnl"/>
        </w:rPr>
        <w:t>miembros de la Comisión, y no se pueda designar a otra persona desde el inicio</w:t>
      </w:r>
      <w:r w:rsidRPr="00AD4D87">
        <w:rPr>
          <w:rFonts w:ascii="Open Sans" w:hAnsi="Open Sans" w:cs="Open Sans"/>
          <w:lang w:val="es-ES_tradnl"/>
        </w:rPr>
        <w:t>, se procurará designar a una persona fija que ostente la función de suplencia de manera regular, en aras de que las negociaciones lleguen a buen término en el menor tiempo posible.</w:t>
      </w:r>
    </w:p>
    <w:p w14:paraId="05416E84" w14:textId="55BBA0A7" w:rsidR="00990FB5" w:rsidRPr="00AD4D87" w:rsidRDefault="00990FB5" w:rsidP="00BE5F54">
      <w:pPr>
        <w:spacing w:after="120" w:line="312" w:lineRule="auto"/>
        <w:ind w:right="227"/>
        <w:rPr>
          <w:rFonts w:ascii="Open Sans" w:hAnsi="Open Sans" w:cs="Open Sans"/>
          <w:lang w:val="es-ES_tradnl"/>
        </w:rPr>
      </w:pPr>
      <w:r w:rsidRPr="00AD4D87">
        <w:rPr>
          <w:rFonts w:ascii="Open Sans" w:hAnsi="Open Sans" w:cs="Open Sans"/>
          <w:lang w:val="es-ES_tradnl"/>
        </w:rPr>
        <w:t xml:space="preserve">Las personas suplentes designadas constarán en acta y no necesitarán, por ello, </w:t>
      </w:r>
      <w:r w:rsidR="00B63D57" w:rsidRPr="00AD4D87">
        <w:rPr>
          <w:rFonts w:ascii="Open Sans" w:hAnsi="Open Sans" w:cs="Open Sans"/>
          <w:lang w:val="es-ES_tradnl"/>
        </w:rPr>
        <w:t xml:space="preserve">expresa </w:t>
      </w:r>
      <w:r w:rsidRPr="00AD4D87">
        <w:rPr>
          <w:rFonts w:ascii="Open Sans" w:hAnsi="Open Sans" w:cs="Open Sans"/>
          <w:lang w:val="es-ES_tradnl"/>
        </w:rPr>
        <w:t>delegación del voto.</w:t>
      </w:r>
    </w:p>
    <w:p w14:paraId="3E4DC9B4" w14:textId="73E25FBD" w:rsidR="0082588B" w:rsidRPr="00AD1CF0" w:rsidRDefault="0082588B" w:rsidP="0082588B">
      <w:pPr>
        <w:spacing w:before="480"/>
        <w:rPr>
          <w:rFonts w:ascii="Open Sans" w:hAnsi="Open Sans" w:cs="Open Sans"/>
          <w:color w:val="2E74B5" w:themeColor="accent1" w:themeShade="BF"/>
          <w:lang w:val="es-ES_tradnl"/>
        </w:rPr>
      </w:pPr>
      <w:r w:rsidRPr="00AD1CF0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t>3.5. Delegación del voto por ausencia en una asamblea</w:t>
      </w:r>
    </w:p>
    <w:p w14:paraId="421B0170" w14:textId="79DCFC73" w:rsidR="0082588B" w:rsidRDefault="0082588B" w:rsidP="00BE5F54">
      <w:pPr>
        <w:spacing w:after="120" w:line="312" w:lineRule="auto"/>
        <w:ind w:right="227"/>
        <w:rPr>
          <w:rFonts w:ascii="Open Sans" w:hAnsi="Open Sans" w:cs="Open Sans"/>
          <w:color w:val="000000"/>
          <w:lang w:val="es-ES_tradnl"/>
        </w:rPr>
      </w:pPr>
      <w:r w:rsidRPr="00AD1CF0">
        <w:rPr>
          <w:rFonts w:ascii="Open Sans" w:hAnsi="Open Sans" w:cs="Open Sans"/>
          <w:color w:val="000000"/>
          <w:lang w:val="es-ES_tradnl"/>
        </w:rPr>
        <w:t>En el caso de que una o varias personas no puedan asistir</w:t>
      </w:r>
      <w:r w:rsidR="00990FB5">
        <w:rPr>
          <w:rFonts w:ascii="Open Sans" w:hAnsi="Open Sans" w:cs="Open Sans"/>
          <w:color w:val="000000"/>
          <w:lang w:val="es-ES_tradnl"/>
        </w:rPr>
        <w:t xml:space="preserve"> puntualmente</w:t>
      </w:r>
      <w:r w:rsidRPr="00AD1CF0">
        <w:rPr>
          <w:rFonts w:ascii="Open Sans" w:hAnsi="Open Sans" w:cs="Open Sans"/>
          <w:color w:val="000000"/>
          <w:lang w:val="es-ES_tradnl"/>
        </w:rPr>
        <w:t xml:space="preserve"> a una reunión o asamblea de la Comisión Negociadora podrán delegar el voto a otra persona utilizando el modelo que se adjunta en el Anexo 1.</w:t>
      </w:r>
    </w:p>
    <w:p w14:paraId="2DCDBA92" w14:textId="77777777" w:rsidR="00AD4D87" w:rsidRPr="00AD1CF0" w:rsidRDefault="00AD4D87" w:rsidP="00BE5F54">
      <w:pPr>
        <w:spacing w:after="120" w:line="312" w:lineRule="auto"/>
        <w:ind w:right="227"/>
        <w:rPr>
          <w:rFonts w:ascii="Open Sans" w:hAnsi="Open Sans" w:cs="Open Sans"/>
          <w:color w:val="000000"/>
          <w:lang w:val="es-ES_tradnl"/>
        </w:rPr>
      </w:pPr>
    </w:p>
    <w:p w14:paraId="6A67793B" w14:textId="77777777" w:rsidR="00BE5F54" w:rsidRPr="00AD1CF0" w:rsidRDefault="00BE5F54" w:rsidP="00BE5F54">
      <w:pPr>
        <w:spacing w:after="120" w:line="312" w:lineRule="auto"/>
        <w:ind w:right="227"/>
        <w:rPr>
          <w:rFonts w:ascii="Open Sans" w:hAnsi="Open Sans" w:cs="Open Sans"/>
          <w:color w:val="000000"/>
          <w:shd w:val="clear" w:color="auto" w:fill="FFF2CC" w:themeFill="accent4" w:themeFillTint="33"/>
          <w:lang w:val="es-ES_tradnl"/>
        </w:rPr>
      </w:pPr>
      <w:r w:rsidRPr="00AD1CF0">
        <w:rPr>
          <w:rFonts w:ascii="Open Sans" w:hAnsi="Open Sans" w:cs="Open Sans"/>
          <w:color w:val="000000"/>
          <w:lang w:val="es-ES_tradnl"/>
        </w:rPr>
        <w:t xml:space="preserve">Y sin más asuntos que tratar se levanta la sesión, siendo las </w:t>
      </w:r>
      <w:r w:rsidRPr="00AD1CF0">
        <w:rPr>
          <w:rFonts w:ascii="Open Sans" w:hAnsi="Open Sans" w:cs="Open Sans"/>
          <w:color w:val="000000"/>
          <w:shd w:val="clear" w:color="auto" w:fill="FFF2CC" w:themeFill="accent4" w:themeFillTint="33"/>
          <w:lang w:val="es-ES_tradnl"/>
        </w:rPr>
        <w:t xml:space="preserve">[…] </w:t>
      </w:r>
      <w:r w:rsidRPr="00AD1CF0">
        <w:rPr>
          <w:rFonts w:ascii="Open Sans" w:hAnsi="Open Sans" w:cs="Open Sans"/>
          <w:color w:val="000000"/>
          <w:lang w:val="es-ES_tradnl"/>
        </w:rPr>
        <w:t xml:space="preserve">horas del día </w:t>
      </w:r>
      <w:r w:rsidRPr="00AD1CF0">
        <w:rPr>
          <w:rFonts w:ascii="Open Sans" w:hAnsi="Open Sans" w:cs="Open Sans"/>
          <w:color w:val="000000"/>
          <w:shd w:val="clear" w:color="auto" w:fill="FFF2CC" w:themeFill="accent4" w:themeFillTint="33"/>
          <w:lang w:val="es-ES_tradnl"/>
        </w:rPr>
        <w:t xml:space="preserve">[…] </w:t>
      </w:r>
      <w:r w:rsidRPr="00AD1CF0">
        <w:rPr>
          <w:rFonts w:ascii="Open Sans" w:hAnsi="Open Sans" w:cs="Open Sans"/>
          <w:color w:val="000000"/>
          <w:lang w:val="es-ES_tradnl"/>
        </w:rPr>
        <w:t xml:space="preserve">  de </w:t>
      </w:r>
      <w:r w:rsidRPr="00AD1CF0">
        <w:rPr>
          <w:rFonts w:ascii="Open Sans" w:hAnsi="Open Sans" w:cs="Open Sans"/>
          <w:color w:val="000000"/>
          <w:shd w:val="clear" w:color="auto" w:fill="FFF2CC" w:themeFill="accent4" w:themeFillTint="33"/>
          <w:lang w:val="es-ES_tradnl"/>
        </w:rPr>
        <w:t xml:space="preserve">[…] </w:t>
      </w:r>
      <w:r w:rsidRPr="00AD1CF0">
        <w:rPr>
          <w:rFonts w:ascii="Open Sans" w:hAnsi="Open Sans" w:cs="Open Sans"/>
          <w:color w:val="000000"/>
          <w:lang w:val="es-ES_tradnl"/>
        </w:rPr>
        <w:t xml:space="preserve"> de 202</w:t>
      </w:r>
      <w:r w:rsidRPr="00AD1CF0">
        <w:rPr>
          <w:rFonts w:ascii="Open Sans" w:hAnsi="Open Sans" w:cs="Open Sans"/>
          <w:color w:val="000000"/>
          <w:shd w:val="clear" w:color="auto" w:fill="FFF2CC" w:themeFill="accent4" w:themeFillTint="33"/>
          <w:lang w:val="es-ES_tradnl"/>
        </w:rPr>
        <w:t>[…]</w:t>
      </w:r>
    </w:p>
    <w:tbl>
      <w:tblPr>
        <w:tblStyle w:val="Tablaconcuadrcula"/>
        <w:tblpPr w:leftFromText="141" w:rightFromText="141" w:vertAnchor="text" w:horzAnchor="margin" w:tblpY="-42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61"/>
      </w:tblGrid>
      <w:tr w:rsidR="00BE5F54" w:rsidRPr="00AD1CF0" w14:paraId="0F938450" w14:textId="77777777" w:rsidTr="008B1954">
        <w:trPr>
          <w:trHeight w:val="1496"/>
        </w:trPr>
        <w:tc>
          <w:tcPr>
            <w:tcW w:w="4683" w:type="dxa"/>
            <w:hideMark/>
          </w:tcPr>
          <w:p w14:paraId="1EA2B0EA" w14:textId="77777777" w:rsidR="00BE5F54" w:rsidRPr="00AD1CF0" w:rsidRDefault="00BE5F54">
            <w:pPr>
              <w:suppressLineNumbers/>
              <w:tabs>
                <w:tab w:val="left" w:pos="2760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Open Sans" w:hAnsi="Open Sans" w:cs="Open Sans"/>
              </w:rPr>
            </w:pPr>
            <w:r w:rsidRPr="00AD1CF0">
              <w:rPr>
                <w:rFonts w:ascii="Open Sans" w:hAnsi="Open Sans" w:cs="Open Sans"/>
              </w:rPr>
              <w:t>Firma:</w:t>
            </w:r>
            <w:r w:rsidRPr="00AD1CF0">
              <w:rPr>
                <w:rFonts w:ascii="Open Sans" w:hAnsi="Open Sans" w:cs="Open Sans"/>
              </w:rPr>
              <w:tab/>
            </w:r>
          </w:p>
        </w:tc>
        <w:tc>
          <w:tcPr>
            <w:tcW w:w="4661" w:type="dxa"/>
            <w:hideMark/>
          </w:tcPr>
          <w:p w14:paraId="6269CABC" w14:textId="77777777" w:rsidR="00BE5F54" w:rsidRPr="00AD1CF0" w:rsidRDefault="00BE5F54">
            <w:pPr>
              <w:autoSpaceDE w:val="0"/>
              <w:autoSpaceDN w:val="0"/>
              <w:adjustRightInd w:val="0"/>
              <w:spacing w:before="0" w:line="360" w:lineRule="auto"/>
              <w:rPr>
                <w:rFonts w:ascii="Open Sans" w:hAnsi="Open Sans" w:cs="Open Sans"/>
              </w:rPr>
            </w:pPr>
            <w:r w:rsidRPr="00AD1CF0">
              <w:rPr>
                <w:rFonts w:ascii="Open Sans" w:hAnsi="Open Sans" w:cs="Open Sans"/>
              </w:rPr>
              <w:t>Firma:</w:t>
            </w:r>
          </w:p>
        </w:tc>
      </w:tr>
      <w:tr w:rsidR="00BE5F54" w:rsidRPr="00AD1CF0" w14:paraId="0A49563B" w14:textId="77777777" w:rsidTr="008B1954">
        <w:trPr>
          <w:trHeight w:val="1846"/>
        </w:trPr>
        <w:tc>
          <w:tcPr>
            <w:tcW w:w="4683" w:type="dxa"/>
            <w:hideMark/>
          </w:tcPr>
          <w:p w14:paraId="2947A7C3" w14:textId="77777777" w:rsidR="00BE5F54" w:rsidRPr="00AD1CF0" w:rsidRDefault="00BE5F54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Open Sans" w:hAnsi="Open Sans" w:cs="Open Sans"/>
                <w:color w:val="000000"/>
                <w:sz w:val="22"/>
                <w:szCs w:val="22"/>
                <w:shd w:val="clear" w:color="auto" w:fill="FFF2CC" w:themeFill="accent4" w:themeFillTint="33"/>
                <w:lang w:eastAsia="en-US"/>
              </w:rPr>
            </w:pPr>
            <w:r w:rsidRPr="00AD1CF0">
              <w:rPr>
                <w:rFonts w:ascii="Open Sans" w:hAnsi="Open Sans" w:cs="Open Sans"/>
                <w:color w:val="000000"/>
                <w:shd w:val="clear" w:color="auto" w:fill="FFF2CC" w:themeFill="accent4" w:themeFillTint="33"/>
                <w:lang w:eastAsia="en-US"/>
              </w:rPr>
              <w:t>[…]</w:t>
            </w:r>
          </w:p>
          <w:p w14:paraId="3CFBAE3F" w14:textId="77777777" w:rsidR="00BE5F54" w:rsidRPr="00AD1CF0" w:rsidRDefault="00BE5F54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Open Sans" w:hAnsi="Open Sans" w:cs="Open Sans"/>
                <w:color w:val="000000"/>
                <w:shd w:val="clear" w:color="auto" w:fill="FFF2CC" w:themeFill="accent4" w:themeFillTint="33"/>
                <w:lang w:eastAsia="en-US"/>
              </w:rPr>
            </w:pPr>
            <w:r w:rsidRPr="00AD1CF0">
              <w:rPr>
                <w:rFonts w:ascii="Open Sans" w:hAnsi="Open Sans" w:cs="Open Sans"/>
                <w:color w:val="000000"/>
                <w:shd w:val="clear" w:color="auto" w:fill="FFF2CC" w:themeFill="accent4" w:themeFillTint="33"/>
                <w:lang w:eastAsia="en-US"/>
              </w:rPr>
              <w:t>En representación de</w:t>
            </w:r>
          </w:p>
        </w:tc>
        <w:tc>
          <w:tcPr>
            <w:tcW w:w="4661" w:type="dxa"/>
            <w:hideMark/>
          </w:tcPr>
          <w:p w14:paraId="1E586887" w14:textId="77777777" w:rsidR="00BE5F54" w:rsidRPr="00AD1CF0" w:rsidRDefault="00BE5F54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Open Sans" w:hAnsi="Open Sans" w:cs="Open Sans"/>
                <w:color w:val="000000"/>
                <w:shd w:val="clear" w:color="auto" w:fill="FFF2CC" w:themeFill="accent4" w:themeFillTint="33"/>
                <w:lang w:eastAsia="en-US"/>
              </w:rPr>
            </w:pPr>
            <w:r w:rsidRPr="00AD1CF0">
              <w:rPr>
                <w:rFonts w:ascii="Open Sans" w:hAnsi="Open Sans" w:cs="Open Sans"/>
                <w:color w:val="000000"/>
                <w:shd w:val="clear" w:color="auto" w:fill="FFF2CC" w:themeFill="accent4" w:themeFillTint="33"/>
                <w:lang w:eastAsia="en-US"/>
              </w:rPr>
              <w:t>[…]</w:t>
            </w:r>
          </w:p>
          <w:p w14:paraId="40AEBB04" w14:textId="77777777" w:rsidR="00BE5F54" w:rsidRPr="00AD1CF0" w:rsidRDefault="00BE5F54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Open Sans" w:hAnsi="Open Sans" w:cs="Open Sans"/>
                <w:color w:val="000000"/>
                <w:shd w:val="clear" w:color="auto" w:fill="FFF2CC" w:themeFill="accent4" w:themeFillTint="33"/>
                <w:lang w:eastAsia="en-US"/>
              </w:rPr>
            </w:pPr>
            <w:r w:rsidRPr="00AD1CF0">
              <w:rPr>
                <w:rFonts w:ascii="Open Sans" w:hAnsi="Open Sans" w:cs="Open Sans"/>
                <w:color w:val="000000"/>
                <w:shd w:val="clear" w:color="auto" w:fill="FFF2CC" w:themeFill="accent4" w:themeFillTint="33"/>
                <w:lang w:eastAsia="en-US"/>
              </w:rPr>
              <w:t>En representación de</w:t>
            </w:r>
          </w:p>
        </w:tc>
      </w:tr>
    </w:tbl>
    <w:p w14:paraId="4FE9ECBF" w14:textId="60154E28" w:rsidR="00E36CA6" w:rsidRPr="00AD1CF0" w:rsidRDefault="00E36CA6" w:rsidP="00D7044F">
      <w:pPr>
        <w:rPr>
          <w:rFonts w:ascii="Open Sans" w:hAnsi="Open Sans" w:cs="Open Sans"/>
        </w:rPr>
      </w:pPr>
    </w:p>
    <w:p w14:paraId="30FD6F06" w14:textId="0598F98C" w:rsidR="0082588B" w:rsidRPr="00AD1CF0" w:rsidRDefault="0082588B">
      <w:pPr>
        <w:spacing w:before="0" w:after="160" w:line="259" w:lineRule="auto"/>
        <w:jc w:val="left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br w:type="page"/>
      </w:r>
    </w:p>
    <w:p w14:paraId="58AA2475" w14:textId="3D4B2453" w:rsidR="0082588B" w:rsidRPr="00AD1CF0" w:rsidRDefault="0082588B" w:rsidP="00D7044F">
      <w:pPr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</w:pPr>
      <w:r w:rsidRPr="00AD1CF0">
        <w:rPr>
          <w:rFonts w:ascii="Open Sans" w:hAnsi="Open Sans" w:cs="Open Sans"/>
          <w:b/>
          <w:bCs/>
          <w:color w:val="2E74B5" w:themeColor="accent1" w:themeShade="BF"/>
          <w:sz w:val="26"/>
          <w:szCs w:val="26"/>
          <w:lang w:val="es-ES_tradnl"/>
        </w:rPr>
        <w:lastRenderedPageBreak/>
        <w:t>Anexo 1 – Modelo de Delegación de voto</w:t>
      </w:r>
    </w:p>
    <w:p w14:paraId="111FA6F7" w14:textId="0A859E29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>Delegación de voto para la asamblea general _______________</w:t>
      </w:r>
      <w:proofErr w:type="gramStart"/>
      <w:r w:rsidRPr="00AD1CF0">
        <w:rPr>
          <w:rFonts w:ascii="Open Sans" w:hAnsi="Open Sans" w:cs="Open Sans"/>
        </w:rPr>
        <w:t xml:space="preserve">   (</w:t>
      </w:r>
      <w:proofErr w:type="gramEnd"/>
      <w:r w:rsidRPr="00AD1CF0">
        <w:rPr>
          <w:rFonts w:ascii="Open Sans" w:hAnsi="Open Sans" w:cs="Open Sans"/>
        </w:rPr>
        <w:t>Especificar si es Ordinaria o Extraordinaria)</w:t>
      </w:r>
    </w:p>
    <w:p w14:paraId="06551099" w14:textId="77777777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</w:p>
    <w:p w14:paraId="086A8046" w14:textId="7A809EFF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 xml:space="preserve">Ante la imposibilidad de asistir personalmente a la asamblea general _______________ (1) del día _______ de ________________________ </w:t>
      </w:r>
      <w:proofErr w:type="spellStart"/>
      <w:r w:rsidRPr="00AD1CF0">
        <w:rPr>
          <w:rFonts w:ascii="Open Sans" w:hAnsi="Open Sans" w:cs="Open Sans"/>
        </w:rPr>
        <w:t>de</w:t>
      </w:r>
      <w:proofErr w:type="spellEnd"/>
      <w:r w:rsidRPr="00AD1CF0">
        <w:rPr>
          <w:rFonts w:ascii="Open Sans" w:hAnsi="Open Sans" w:cs="Open Sans"/>
        </w:rPr>
        <w:t xml:space="preserve"> ____________, de la EMPRESA ___________________________________________________________________.</w:t>
      </w:r>
    </w:p>
    <w:p w14:paraId="78C7A3DD" w14:textId="77777777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</w:p>
    <w:p w14:paraId="1DE65C75" w14:textId="29FE0034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 xml:space="preserve">D./Dª.     _________________________________________ </w:t>
      </w:r>
      <w:proofErr w:type="gramStart"/>
      <w:r w:rsidRPr="00AD1CF0">
        <w:rPr>
          <w:rFonts w:ascii="Open Sans" w:hAnsi="Open Sans" w:cs="Open Sans"/>
        </w:rPr>
        <w:t xml:space="preserve">   (</w:t>
      </w:r>
      <w:proofErr w:type="gramEnd"/>
      <w:r w:rsidRPr="00AD1CF0">
        <w:rPr>
          <w:rFonts w:ascii="Open Sans" w:hAnsi="Open Sans" w:cs="Open Sans"/>
        </w:rPr>
        <w:t>Delegante)  con DNI/ NIE/</w:t>
      </w:r>
      <w:proofErr w:type="spellStart"/>
      <w:r w:rsidRPr="00AD1CF0">
        <w:rPr>
          <w:rFonts w:ascii="Open Sans" w:hAnsi="Open Sans" w:cs="Open Sans"/>
        </w:rPr>
        <w:t>nº</w:t>
      </w:r>
      <w:proofErr w:type="spellEnd"/>
      <w:r w:rsidRPr="00AD1CF0">
        <w:rPr>
          <w:rFonts w:ascii="Open Sans" w:hAnsi="Open Sans" w:cs="Open Sans"/>
        </w:rPr>
        <w:t xml:space="preserve"> pasaporte ________________ por la presente delego mi representación y voto a favor de  D./Dª. ______________________________________</w:t>
      </w:r>
      <w:proofErr w:type="gramStart"/>
      <w:r w:rsidRPr="00AD1CF0">
        <w:rPr>
          <w:rFonts w:ascii="Open Sans" w:hAnsi="Open Sans" w:cs="Open Sans"/>
        </w:rPr>
        <w:t xml:space="preserve">   (</w:t>
      </w:r>
      <w:proofErr w:type="gramEnd"/>
      <w:r w:rsidRPr="00AD1CF0">
        <w:rPr>
          <w:rFonts w:ascii="Open Sans" w:hAnsi="Open Sans" w:cs="Open Sans"/>
        </w:rPr>
        <w:t>Delegado/a) con DNI / NIE/</w:t>
      </w:r>
      <w:proofErr w:type="spellStart"/>
      <w:r w:rsidRPr="00AD1CF0">
        <w:rPr>
          <w:rFonts w:ascii="Open Sans" w:hAnsi="Open Sans" w:cs="Open Sans"/>
        </w:rPr>
        <w:t>nº</w:t>
      </w:r>
      <w:proofErr w:type="spellEnd"/>
      <w:r w:rsidRPr="00AD1CF0">
        <w:rPr>
          <w:rFonts w:ascii="Open Sans" w:hAnsi="Open Sans" w:cs="Open Sans"/>
        </w:rPr>
        <w:t xml:space="preserve"> pasaporte __________________   para que me represente y vote en mi nombre.</w:t>
      </w:r>
    </w:p>
    <w:p w14:paraId="2975C20E" w14:textId="77777777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</w:p>
    <w:p w14:paraId="25A26CDA" w14:textId="77777777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>Y para que surta los efectos oportunos firmo la presente en _____________</w:t>
      </w:r>
      <w:proofErr w:type="gramStart"/>
      <w:r w:rsidRPr="00AD1CF0">
        <w:rPr>
          <w:rFonts w:ascii="Open Sans" w:hAnsi="Open Sans" w:cs="Open Sans"/>
        </w:rPr>
        <w:t>_,  a</w:t>
      </w:r>
      <w:proofErr w:type="gramEnd"/>
      <w:r w:rsidRPr="00AD1CF0">
        <w:rPr>
          <w:rFonts w:ascii="Open Sans" w:hAnsi="Open Sans" w:cs="Open Sans"/>
        </w:rPr>
        <w:t xml:space="preserve">  ___  </w:t>
      </w:r>
      <w:proofErr w:type="spellStart"/>
      <w:r w:rsidRPr="00AD1CF0">
        <w:rPr>
          <w:rFonts w:ascii="Open Sans" w:hAnsi="Open Sans" w:cs="Open Sans"/>
        </w:rPr>
        <w:t>de</w:t>
      </w:r>
      <w:proofErr w:type="spellEnd"/>
      <w:r w:rsidRPr="00AD1CF0">
        <w:rPr>
          <w:rFonts w:ascii="Open Sans" w:hAnsi="Open Sans" w:cs="Open Sans"/>
        </w:rPr>
        <w:t xml:space="preserve"> ____  </w:t>
      </w:r>
      <w:proofErr w:type="spellStart"/>
      <w:r w:rsidRPr="00AD1CF0">
        <w:rPr>
          <w:rFonts w:ascii="Open Sans" w:hAnsi="Open Sans" w:cs="Open Sans"/>
        </w:rPr>
        <w:t>de</w:t>
      </w:r>
      <w:proofErr w:type="spellEnd"/>
      <w:r w:rsidRPr="00AD1CF0">
        <w:rPr>
          <w:rFonts w:ascii="Open Sans" w:hAnsi="Open Sans" w:cs="Open Sans"/>
        </w:rPr>
        <w:t xml:space="preserve">  ___</w:t>
      </w:r>
    </w:p>
    <w:p w14:paraId="6336B1E6" w14:textId="77777777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</w:p>
    <w:p w14:paraId="4453A211" w14:textId="0AD9D1BE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>Firmado (</w:t>
      </w:r>
      <w:proofErr w:type="gramStart"/>
      <w:r w:rsidRPr="00AD1CF0">
        <w:rPr>
          <w:rFonts w:ascii="Open Sans" w:hAnsi="Open Sans" w:cs="Open Sans"/>
        </w:rPr>
        <w:t xml:space="preserve">delegante)   </w:t>
      </w:r>
      <w:proofErr w:type="gramEnd"/>
      <w:r w:rsidRPr="00AD1CF0">
        <w:rPr>
          <w:rFonts w:ascii="Open Sans" w:hAnsi="Open Sans" w:cs="Open Sans"/>
        </w:rPr>
        <w:t xml:space="preserve">                                   Firmado (delegado/a)</w:t>
      </w:r>
    </w:p>
    <w:p w14:paraId="577D3406" w14:textId="77777777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</w:p>
    <w:p w14:paraId="06BD596D" w14:textId="105A98E5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>En delegación de representación y voto.          En aceptación de la delegación de representación y voto.</w:t>
      </w:r>
    </w:p>
    <w:p w14:paraId="7EA84009" w14:textId="208C1987" w:rsidR="0082588B" w:rsidRPr="00AD1CF0" w:rsidRDefault="0082588B" w:rsidP="0082588B">
      <w:pPr>
        <w:spacing w:line="360" w:lineRule="auto"/>
        <w:rPr>
          <w:rFonts w:ascii="Open Sans" w:hAnsi="Open Sans" w:cs="Open Sans"/>
        </w:rPr>
      </w:pPr>
      <w:r w:rsidRPr="00AD1CF0">
        <w:rPr>
          <w:rFonts w:ascii="Open Sans" w:hAnsi="Open Sans" w:cs="Open Sans"/>
        </w:rPr>
        <w:t>A la presente delegación es IMPRESCINDIBLE ADJUNTAR FOTOCOPIA DEL DNI/NIE del delegante.</w:t>
      </w:r>
    </w:p>
    <w:sectPr w:rsidR="0082588B" w:rsidRPr="00AD1CF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cencia Office" w:date="2022-02-21T09:20:00Z" w:initials="LO">
    <w:p w14:paraId="4671AB26" w14:textId="77777777" w:rsidR="00AE0455" w:rsidRDefault="00AE0455" w:rsidP="00F36691">
      <w:pPr>
        <w:pStyle w:val="Textocomentario"/>
        <w:jc w:val="left"/>
      </w:pPr>
      <w:r>
        <w:rPr>
          <w:rStyle w:val="Refdecomentario"/>
        </w:rPr>
        <w:annotationRef/>
      </w:r>
      <w:r>
        <w:t>Todas las personas que vienen a la reunión</w:t>
      </w:r>
    </w:p>
  </w:comment>
  <w:comment w:id="1" w:author="Licencia Office" w:date="2022-02-21T09:20:00Z" w:initials="LO">
    <w:p w14:paraId="7A205191" w14:textId="60AC835E" w:rsidR="00AE0455" w:rsidRDefault="00AE0455" w:rsidP="00AC4BDF">
      <w:pPr>
        <w:pStyle w:val="Textocomentario"/>
        <w:jc w:val="left"/>
      </w:pPr>
      <w:r>
        <w:rPr>
          <w:rStyle w:val="Refdecomentario"/>
        </w:rPr>
        <w:annotationRef/>
      </w:r>
      <w:r>
        <w:t>Quienes participan con voz y voto</w:t>
      </w:r>
    </w:p>
  </w:comment>
  <w:comment w:id="2" w:author="Licencia Office" w:date="2022-02-21T09:20:00Z" w:initials="LO">
    <w:p w14:paraId="3F55B370" w14:textId="77777777" w:rsidR="00760179" w:rsidRDefault="00760179" w:rsidP="00760179">
      <w:pPr>
        <w:pStyle w:val="Textocomentario"/>
        <w:jc w:val="left"/>
      </w:pPr>
      <w:r>
        <w:rPr>
          <w:rStyle w:val="Refdecomentario"/>
        </w:rPr>
        <w:annotationRef/>
      </w:r>
      <w:r>
        <w:t>Quienes participan con voz y voto</w:t>
      </w:r>
    </w:p>
  </w:comment>
  <w:comment w:id="3" w:author="Ana López Ramos" w:date="2022-03-30T19:29:00Z" w:initials="ALR">
    <w:p w14:paraId="3005E47F" w14:textId="77777777" w:rsidR="009F4DEC" w:rsidRDefault="009F4DEC" w:rsidP="009B5FDD">
      <w:pPr>
        <w:pStyle w:val="Textocomentario"/>
        <w:jc w:val="left"/>
      </w:pPr>
      <w:r>
        <w:rPr>
          <w:rStyle w:val="Refdecomentario"/>
        </w:rPr>
        <w:annotationRef/>
      </w:r>
      <w:r>
        <w:t>La forma de tomar las decisiones se acuerda en la constitución de la comisión, aunque recomendablemente debería ser por unanimidad</w:t>
      </w:r>
    </w:p>
  </w:comment>
  <w:comment w:id="4" w:author="Ana López Ramos" w:date="2022-03-30T19:30:00Z" w:initials="ALR">
    <w:p w14:paraId="57529B24" w14:textId="77777777" w:rsidR="009F4DEC" w:rsidRDefault="009F4DEC" w:rsidP="00467107">
      <w:pPr>
        <w:pStyle w:val="Textocomentario"/>
        <w:jc w:val="left"/>
      </w:pPr>
      <w:r>
        <w:rPr>
          <w:rStyle w:val="Refdecomentario"/>
        </w:rPr>
        <w:annotationRef/>
      </w:r>
      <w:r>
        <w:t>Si participan personas externas a la empresa se debe indicar en este punto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71AB26" w15:done="0"/>
  <w15:commentEx w15:paraId="7A205191" w15:done="0"/>
  <w15:commentEx w15:paraId="3F55B370" w15:done="0"/>
  <w15:commentEx w15:paraId="3005E47F" w15:done="0"/>
  <w15:commentEx w15:paraId="57529B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D7C5" w16cex:dateUtc="2022-02-21T08:20:00Z"/>
  <w16cex:commentExtensible w16cex:durableId="25BDD7D3" w16cex:dateUtc="2022-02-21T08:20:00Z"/>
  <w16cex:commentExtensible w16cex:durableId="25CAFC90" w16cex:dateUtc="2022-02-21T08:20:00Z"/>
  <w16cex:commentExtensible w16cex:durableId="25EF2E29" w16cex:dateUtc="2022-03-30T17:29:00Z"/>
  <w16cex:commentExtensible w16cex:durableId="25EF2E53" w16cex:dateUtc="2022-03-30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71AB26" w16cid:durableId="25BDD7C5"/>
  <w16cid:commentId w16cid:paraId="7A205191" w16cid:durableId="25BDD7D3"/>
  <w16cid:commentId w16cid:paraId="3F55B370" w16cid:durableId="25CAFC90"/>
  <w16cid:commentId w16cid:paraId="3005E47F" w16cid:durableId="25EF2E29"/>
  <w16cid:commentId w16cid:paraId="57529B24" w16cid:durableId="25EF2E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C546" w14:textId="77777777" w:rsidR="000F2009" w:rsidRDefault="000F2009" w:rsidP="00D7044F">
      <w:pPr>
        <w:spacing w:before="0" w:after="0" w:line="240" w:lineRule="auto"/>
      </w:pPr>
      <w:r>
        <w:separator/>
      </w:r>
    </w:p>
  </w:endnote>
  <w:endnote w:type="continuationSeparator" w:id="0">
    <w:p w14:paraId="7444149E" w14:textId="77777777" w:rsidR="000F2009" w:rsidRDefault="000F2009" w:rsidP="00D704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369F" w14:textId="77777777" w:rsidR="000F2009" w:rsidRDefault="000F2009" w:rsidP="00D7044F">
      <w:pPr>
        <w:spacing w:before="0" w:after="0" w:line="240" w:lineRule="auto"/>
      </w:pPr>
      <w:r>
        <w:separator/>
      </w:r>
    </w:p>
  </w:footnote>
  <w:footnote w:type="continuationSeparator" w:id="0">
    <w:p w14:paraId="4377CD7C" w14:textId="77777777" w:rsidR="000F2009" w:rsidRDefault="000F2009" w:rsidP="00D7044F">
      <w:pPr>
        <w:spacing w:before="0" w:after="0" w:line="240" w:lineRule="auto"/>
      </w:pPr>
      <w:r>
        <w:continuationSeparator/>
      </w:r>
    </w:p>
  </w:footnote>
  <w:footnote w:id="1">
    <w:p w14:paraId="3A7DDDBD" w14:textId="77777777" w:rsidR="00BE5F54" w:rsidRDefault="00BE5F54" w:rsidP="00BE5F54">
      <w:pPr>
        <w:pStyle w:val="Textonotapie"/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Deberá promoverse la composición equilibrada entre mujeres y hombres de cada una de las partes, así como que sus integrantes tengan formación y/o experiencia en materia de igualdad entre mujeres y hombres en el ámbito laboral.</w:t>
      </w:r>
    </w:p>
  </w:footnote>
  <w:footnote w:id="2">
    <w:p w14:paraId="09B0805E" w14:textId="77777777" w:rsidR="00BE5F54" w:rsidRDefault="00BE5F54" w:rsidP="00BE5F54">
      <w:r>
        <w:rPr>
          <w:rStyle w:val="Refdenotaalpie"/>
          <w:sz w:val="18"/>
          <w:szCs w:val="18"/>
        </w:rPr>
        <w:footnoteRef/>
      </w:r>
      <w:r>
        <w:rPr>
          <w:vertAlign w:val="superscript"/>
        </w:rPr>
        <w:t xml:space="preserve"> </w:t>
      </w:r>
      <w:r>
        <w:rPr>
          <w:rFonts w:eastAsia="Montserrat" w:cs="Montserrat"/>
          <w:sz w:val="18"/>
          <w:szCs w:val="18"/>
          <w:lang w:eastAsia="es-ES"/>
        </w:rPr>
        <w:t>La composición de la parte social de la comisión negociadora deberá ser proporcional a su representatividad.</w:t>
      </w:r>
    </w:p>
  </w:footnote>
  <w:footnote w:id="3">
    <w:p w14:paraId="53394E6B" w14:textId="5150E424" w:rsidR="00BE5F54" w:rsidRDefault="00BE5F54" w:rsidP="00BE5F54">
      <w:r>
        <w:rPr>
          <w:rStyle w:val="Refdenotaalpie"/>
        </w:rPr>
        <w:footnoteRef/>
      </w:r>
      <w:r>
        <w:t xml:space="preserve"> </w:t>
      </w:r>
      <w:r>
        <w:rPr>
          <w:sz w:val="18"/>
          <w:szCs w:val="18"/>
        </w:rPr>
        <w:t>Si la Comisión Negociadora optara por la no elección de una persona que ostente la Presidencia, las partes deberán consignar además en el acta constitutiva de la Comisión, los procedimientos a emplear para moderar las sesiones y firmar las actas, pudiendo designar a una persona representante de cada una de las partes</w:t>
      </w:r>
      <w:r w:rsidR="00C57E46">
        <w:rPr>
          <w:sz w:val="18"/>
          <w:szCs w:val="18"/>
        </w:rPr>
        <w:t xml:space="preserve"> en cada sesión,</w:t>
      </w:r>
      <w:r>
        <w:rPr>
          <w:sz w:val="18"/>
          <w:szCs w:val="18"/>
        </w:rPr>
        <w:t xml:space="preserve"> junto con la persona que ostente la secretaría</w:t>
      </w:r>
    </w:p>
    <w:p w14:paraId="58824885" w14:textId="77777777" w:rsidR="00BE5F54" w:rsidRDefault="00BE5F54" w:rsidP="00BE5F5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0" w:type="dxa"/>
      <w:jc w:val="center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8045"/>
    </w:tblGrid>
    <w:tr w:rsidR="00296058" w:rsidRPr="00AD1CF0" w14:paraId="72587943" w14:textId="77777777" w:rsidTr="00257809">
      <w:trPr>
        <w:cantSplit/>
        <w:trHeight w:val="1051"/>
        <w:jc w:val="center"/>
      </w:trPr>
      <w:tc>
        <w:tcPr>
          <w:tcW w:w="2405" w:type="dxa"/>
          <w:vAlign w:val="center"/>
        </w:tcPr>
        <w:p w14:paraId="606E1EA6" w14:textId="2C9CEE6D" w:rsidR="00296058" w:rsidRPr="00AD1CF0" w:rsidRDefault="009F4DEC" w:rsidP="00D7044F">
          <w:pPr>
            <w:pStyle w:val="Encabezado"/>
            <w:jc w:val="center"/>
            <w:rPr>
              <w:rFonts w:ascii="Open Sans" w:hAnsi="Open Sans" w:cs="Open Sans"/>
            </w:rPr>
          </w:pPr>
          <w:bookmarkStart w:id="5" w:name="_Hlk80868380"/>
          <w:r>
            <w:rPr>
              <w:rFonts w:ascii="Open Sans" w:hAnsi="Open Sans" w:cs="Open Sans"/>
              <w:noProof/>
            </w:rPr>
            <w:drawing>
              <wp:inline distT="0" distB="0" distL="0" distR="0" wp14:anchorId="1B73A31E" wp14:editId="5B945EFA">
                <wp:extent cx="1438275" cy="404495"/>
                <wp:effectExtent l="0" t="0" r="9525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0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5" w:type="dxa"/>
          <w:shd w:val="clear" w:color="auto" w:fill="FFFFFF"/>
          <w:vAlign w:val="center"/>
        </w:tcPr>
        <w:p w14:paraId="758E6227" w14:textId="3F9102E8" w:rsidR="00296058" w:rsidRPr="00AD1CF0" w:rsidRDefault="00296058" w:rsidP="00977A96">
          <w:pPr>
            <w:pStyle w:val="Encabezado"/>
            <w:jc w:val="center"/>
            <w:rPr>
              <w:rFonts w:ascii="Open Sans" w:hAnsi="Open Sans" w:cs="Open Sans"/>
              <w:color w:val="FF0000"/>
              <w:sz w:val="20"/>
              <w:szCs w:val="16"/>
            </w:rPr>
          </w:pPr>
          <w:r w:rsidRPr="00AD1CF0">
            <w:rPr>
              <w:rFonts w:ascii="Open Sans" w:hAnsi="Open Sans" w:cs="Open Sans"/>
              <w:b/>
              <w:color w:val="44546A" w:themeColor="text2"/>
              <w:sz w:val="28"/>
              <w:szCs w:val="28"/>
            </w:rPr>
            <w:t>ACTA DE CONSTITUCIÓN DE LA COMISIÓN NEGOCIADORA</w:t>
          </w:r>
        </w:p>
      </w:tc>
    </w:tr>
    <w:bookmarkEnd w:id="5"/>
  </w:tbl>
  <w:p w14:paraId="4730EC5C" w14:textId="77777777" w:rsidR="00D7044F" w:rsidRPr="00D7044F" w:rsidRDefault="00D7044F" w:rsidP="00D7044F">
    <w:pPr>
      <w:pStyle w:val="Encabezado"/>
      <w:rPr>
        <w:i/>
        <w:sz w:val="18"/>
        <w:szCs w:val="18"/>
      </w:rPr>
    </w:pPr>
  </w:p>
  <w:p w14:paraId="3AE86A5A" w14:textId="77777777" w:rsidR="00D7044F" w:rsidRDefault="00D70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84.6pt;height:384.6pt" o:bullet="t">
        <v:imagedata r:id="rId1" o:title="clip_image001"/>
      </v:shape>
    </w:pict>
  </w:numPicBullet>
  <w:abstractNum w:abstractNumId="0" w15:restartNumberingAfterBreak="0">
    <w:nsid w:val="090A69ED"/>
    <w:multiLevelType w:val="hybridMultilevel"/>
    <w:tmpl w:val="F3883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3340"/>
    <w:multiLevelType w:val="hybridMultilevel"/>
    <w:tmpl w:val="A0F67BCA"/>
    <w:lvl w:ilvl="0" w:tplc="7B96C6C8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7899"/>
    <w:multiLevelType w:val="hybridMultilevel"/>
    <w:tmpl w:val="8C564EC8"/>
    <w:lvl w:ilvl="0" w:tplc="19B8EA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AA4D9" w:themeColor="accent1" w:themeTint="E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5BF9"/>
    <w:multiLevelType w:val="hybridMultilevel"/>
    <w:tmpl w:val="3DFEAB9E"/>
    <w:lvl w:ilvl="0" w:tplc="EEE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528D"/>
    <w:multiLevelType w:val="hybridMultilevel"/>
    <w:tmpl w:val="47701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E706D"/>
    <w:multiLevelType w:val="hybridMultilevel"/>
    <w:tmpl w:val="B380A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F7D80"/>
    <w:multiLevelType w:val="hybridMultilevel"/>
    <w:tmpl w:val="E4B49284"/>
    <w:lvl w:ilvl="0" w:tplc="523C39E0">
      <w:start w:val="1"/>
      <w:numFmt w:val="bullet"/>
      <w:lvlText w:val=""/>
      <w:lvlPicBulletId w:val="0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color w:val="84B3DF" w:themeColor="accent1" w:themeTint="BF"/>
        <w:sz w:val="24"/>
        <w:szCs w:val="24"/>
        <w:u w:color="84B3DF" w:themeColor="accent1" w:themeTint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33D00"/>
    <w:multiLevelType w:val="hybridMultilevel"/>
    <w:tmpl w:val="BBE6E25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B4711"/>
    <w:multiLevelType w:val="hybridMultilevel"/>
    <w:tmpl w:val="52CCE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4D84"/>
    <w:multiLevelType w:val="hybridMultilevel"/>
    <w:tmpl w:val="FC387A22"/>
    <w:lvl w:ilvl="0" w:tplc="EEE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52765"/>
    <w:multiLevelType w:val="hybridMultilevel"/>
    <w:tmpl w:val="89088E6C"/>
    <w:lvl w:ilvl="0" w:tplc="523C39E0">
      <w:start w:val="1"/>
      <w:numFmt w:val="bullet"/>
      <w:lvlText w:val=""/>
      <w:lvlPicBulletId w:val="0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color w:val="84B3DF" w:themeColor="accent1" w:themeTint="BF"/>
        <w:w w:val="100"/>
        <w:sz w:val="24"/>
        <w:szCs w:val="24"/>
        <w:u w:color="84B3DF" w:themeColor="accent1" w:themeTint="B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E0333"/>
    <w:multiLevelType w:val="hybridMultilevel"/>
    <w:tmpl w:val="D624A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cencia Office">
    <w15:presenceInfo w15:providerId="None" w15:userId="Licencia Office"/>
  </w15:person>
  <w15:person w15:author="Ana López Ramos">
    <w15:presenceInfo w15:providerId="AD" w15:userId="S::al287477@uji.es::fe8577e1-f386-42a4-b6ed-eda7beac8d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4F"/>
    <w:rsid w:val="0000076B"/>
    <w:rsid w:val="000F2009"/>
    <w:rsid w:val="001026B3"/>
    <w:rsid w:val="001447D1"/>
    <w:rsid w:val="00180AF6"/>
    <w:rsid w:val="00223601"/>
    <w:rsid w:val="00296058"/>
    <w:rsid w:val="003328AA"/>
    <w:rsid w:val="003354F7"/>
    <w:rsid w:val="00335726"/>
    <w:rsid w:val="00395F9F"/>
    <w:rsid w:val="00547634"/>
    <w:rsid w:val="00592E51"/>
    <w:rsid w:val="007311EE"/>
    <w:rsid w:val="00760179"/>
    <w:rsid w:val="00791880"/>
    <w:rsid w:val="00793E59"/>
    <w:rsid w:val="007D4276"/>
    <w:rsid w:val="0082588B"/>
    <w:rsid w:val="008B1954"/>
    <w:rsid w:val="00905C8A"/>
    <w:rsid w:val="0094023F"/>
    <w:rsid w:val="00977A96"/>
    <w:rsid w:val="0099009B"/>
    <w:rsid w:val="00990FB5"/>
    <w:rsid w:val="009C479E"/>
    <w:rsid w:val="009F4DEC"/>
    <w:rsid w:val="00A37068"/>
    <w:rsid w:val="00AC01CB"/>
    <w:rsid w:val="00AD1CF0"/>
    <w:rsid w:val="00AD4D87"/>
    <w:rsid w:val="00AE0455"/>
    <w:rsid w:val="00B63D57"/>
    <w:rsid w:val="00BE5F54"/>
    <w:rsid w:val="00C57E46"/>
    <w:rsid w:val="00CF357E"/>
    <w:rsid w:val="00D52185"/>
    <w:rsid w:val="00D7044F"/>
    <w:rsid w:val="00E36CA6"/>
    <w:rsid w:val="00E44EBD"/>
    <w:rsid w:val="00ED7DF2"/>
    <w:rsid w:val="00F0312B"/>
    <w:rsid w:val="00F22A19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C718"/>
  <w15:chartTrackingRefBased/>
  <w15:docId w15:val="{AB3E6AE4-CAFE-41A5-BE97-E0A6666A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4F"/>
    <w:pPr>
      <w:spacing w:before="120" w:after="200" w:line="276" w:lineRule="auto"/>
      <w:jc w:val="both"/>
    </w:pPr>
    <w:rPr>
      <w:rFonts w:ascii="Montserrat" w:eastAsia="Times New Roman" w:hAnsi="Montserrat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044F"/>
    <w:pPr>
      <w:pBdr>
        <w:bottom w:val="single" w:sz="8" w:space="1" w:color="84B3DF" w:themeColor="accent1" w:themeTint="BF"/>
      </w:pBdr>
      <w:spacing w:before="360" w:after="280"/>
      <w:outlineLvl w:val="2"/>
    </w:pPr>
    <w:rPr>
      <w:b/>
      <w:bCs/>
      <w:i/>
      <w:iCs/>
      <w:color w:val="6AA4D9" w:themeColor="accent1" w:themeTint="E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044F"/>
    <w:rPr>
      <w:rFonts w:ascii="Montserrat" w:eastAsia="Times New Roman" w:hAnsi="Montserrat" w:cs="Times New Roman"/>
      <w:b/>
      <w:bCs/>
      <w:i/>
      <w:iCs/>
      <w:color w:val="6AA4D9" w:themeColor="accent1" w:themeTint="E6"/>
      <w:sz w:val="32"/>
      <w:szCs w:val="32"/>
    </w:rPr>
  </w:style>
  <w:style w:type="paragraph" w:styleId="Prrafodelista">
    <w:name w:val="List Paragraph"/>
    <w:basedOn w:val="Normal"/>
    <w:uiPriority w:val="1"/>
    <w:qFormat/>
    <w:rsid w:val="00D7044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044F"/>
    <w:rPr>
      <w:rFonts w:ascii="Montserrat" w:eastAsia="Times New Roman" w:hAnsi="Montserrat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44F"/>
    <w:rPr>
      <w:rFonts w:ascii="Montserrat" w:eastAsia="Times New Roman" w:hAnsi="Montserrat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F54"/>
    <w:pPr>
      <w:spacing w:before="0" w:after="0" w:line="240" w:lineRule="auto"/>
    </w:pPr>
    <w:rPr>
      <w:rFonts w:eastAsia="Montserrat" w:cs="Montserrat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F54"/>
    <w:rPr>
      <w:rFonts w:ascii="Montserrat" w:eastAsia="Montserrat" w:hAnsi="Montserrat" w:cs="Montserrat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F54"/>
    <w:rPr>
      <w:vertAlign w:val="superscript"/>
    </w:rPr>
  </w:style>
  <w:style w:type="table" w:styleId="Tablaconcuadrcula">
    <w:name w:val="Table Grid"/>
    <w:basedOn w:val="Tablanormal"/>
    <w:rsid w:val="00BE5F5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E0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4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455"/>
    <w:rPr>
      <w:rFonts w:ascii="Montserrat" w:eastAsia="Times New Roman" w:hAnsi="Montserrat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4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455"/>
    <w:rPr>
      <w:rFonts w:ascii="Montserrat" w:eastAsia="Times New Roman" w:hAnsi="Montserra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1494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</dc:creator>
  <cp:keywords/>
  <dc:description/>
  <cp:lastModifiedBy>Ana López Ramos</cp:lastModifiedBy>
  <cp:revision>12</cp:revision>
  <dcterms:created xsi:type="dcterms:W3CDTF">2021-11-16T12:25:00Z</dcterms:created>
  <dcterms:modified xsi:type="dcterms:W3CDTF">2022-03-30T17:30:00Z</dcterms:modified>
</cp:coreProperties>
</file>